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B4F4F" w:rsidR="007547E0" w:rsidP="007547E0" w:rsidRDefault="007547E0" w14:paraId="3702BCAB" w14:textId="2BE02F87">
      <w:pPr>
        <w:pStyle w:val="TITLECAPS"/>
        <w:rPr>
          <w:color w:val="auto"/>
        </w:rPr>
      </w:pPr>
      <w:r>
        <w:rPr>
          <w:color w:val="auto"/>
        </w:rPr>
        <w:t xml:space="preserve">Permuta Fluke CM&amp;A EMEA 2026</w:t>
      </w:r>
    </w:p>
    <w:p w:rsidRPr="00CB4F4F" w:rsidR="007547E0" w:rsidP="007547E0" w:rsidRDefault="007547E0" w14:paraId="7F0CB3AD" w14:textId="77777777">
      <w:pPr>
        <w:spacing w:after="240"/>
        <w:rPr>
          <w:b/>
          <w:sz w:val="28"/>
          <w:szCs w:val="28"/>
          <w:rFonts w:ascii="Cambria" w:hAnsi="Cambria"/>
        </w:rPr>
      </w:pPr>
      <w:r w:rsidRPr="4E2FD40D" w:rsidR="6FE74B14">
        <w:rPr>
          <w:rFonts w:ascii="Cambria" w:hAnsi="Cambria"/>
          <w:b w:val="1"/>
          <w:bCs w:val="1"/>
          <w:sz w:val="28"/>
          <w:szCs w:val="28"/>
        </w:rPr>
        <w:t>Termini e condizioni</w:t>
      </w:r>
    </w:p>
    <w:p w:rsidR="4E2FD40D" w:rsidP="4E2FD40D" w:rsidRDefault="4E2FD40D" w14:paraId="35896BC7" w14:textId="096ED7DD">
      <w:pPr>
        <w:pStyle w:val="OutlineL1"/>
        <w:ind w:left="420"/>
        <w:rPr/>
      </w:pPr>
      <w:r w:rsidRPr="4E2FD40D" w:rsidR="4E2FD40D">
        <w:rPr>
          <w:rFonts w:ascii="Calibri" w:hAnsi="Calibri" w:eastAsia="Calibri" w:cs="Calibri"/>
          <w:b w:val="1"/>
          <w:bCs w:val="1"/>
          <w:sz w:val="20"/>
          <w:szCs w:val="20"/>
        </w:rPr>
        <w:t>Panoramica</w:t>
      </w:r>
      <w:r w:rsidRPr="4E2FD40D" w:rsidR="4E2FD40D">
        <w:rPr>
          <w:rFonts w:ascii="Calibri" w:hAnsi="Calibri" w:eastAsia="Calibri" w:cs="Calibri"/>
          <w:sz w:val="20"/>
          <w:szCs w:val="20"/>
        </w:rPr>
        <w:t>. Nell’ambito di questo Programma di permuta (il “</w:t>
      </w:r>
      <w:r w:rsidRPr="4E2FD40D" w:rsidR="4E2FD40D">
        <w:rPr>
          <w:rFonts w:ascii="Calibri" w:hAnsi="Calibri" w:eastAsia="Calibri" w:cs="Calibri"/>
          <w:b w:val="1"/>
          <w:bCs w:val="1"/>
          <w:sz w:val="20"/>
          <w:szCs w:val="20"/>
        </w:rPr>
        <w:t>Programma</w:t>
      </w:r>
      <w:r w:rsidRPr="4E2FD40D" w:rsidR="4E2FD40D">
        <w:rPr>
          <w:rFonts w:ascii="Calibri" w:hAnsi="Calibri" w:eastAsia="Calibri" w:cs="Calibri"/>
          <w:sz w:val="20"/>
          <w:szCs w:val="20"/>
        </w:rPr>
        <w:t>”), durante il “Periodo di validità del Programma” (definito nella Sezione 4 di seguito), i clienti idonei di Fluke Condition Monitoring &amp; Alignment possono permutare i prodotti PRÜFTECHNIK e Fluke Reliability specificati nella Sezione 5 di seguito oppure prodotti comparabili di produttori terzi (“</w:t>
      </w:r>
      <w:r w:rsidRPr="4E2FD40D" w:rsidR="4E2FD40D">
        <w:rPr>
          <w:rFonts w:ascii="Calibri" w:hAnsi="Calibri" w:eastAsia="Calibri" w:cs="Calibri"/>
          <w:b w:val="1"/>
          <w:bCs w:val="1"/>
          <w:sz w:val="20"/>
          <w:szCs w:val="20"/>
        </w:rPr>
        <w:t>Prodotti idonei</w:t>
      </w:r>
      <w:r w:rsidRPr="4E2FD40D" w:rsidR="4E2FD40D">
        <w:rPr>
          <w:rFonts w:ascii="Calibri" w:hAnsi="Calibri" w:eastAsia="Calibri" w:cs="Calibri"/>
          <w:sz w:val="20"/>
          <w:szCs w:val="20"/>
        </w:rPr>
        <w:t>”) per ricevere uno sconto esclusivo sul prezzo di listino applicabile dello Sponsor o del distributore al momento dell’acquisto di nuovi dispositivi Fluke Condition Monitoring &amp; Alignment sostitutivi specificati nella Sezione 5, acquistati direttamente da uno Sponsor del Programma (definito nella Sezione 9) o dal distributore Fluke locale.</w:t>
      </w:r>
    </w:p>
    <w:p w:rsidRPr="00DF1A26" w:rsidR="007547E0" w:rsidP="007547E0" w:rsidRDefault="007547E0" w14:paraId="6A6FABD9" w14:textId="77777777">
      <w:pPr>
        <w:pStyle w:val="BodyText"/>
        <w:ind w:left="432"/>
        <w:rPr>
          <w:sz w:val="20"/>
          <w:szCs w:val="20"/>
          <w:rFonts w:asciiTheme="minorHAnsi" w:hAnsiTheme="minorHAnsi" w:cstheme="minorHAnsi"/>
        </w:rPr>
      </w:pPr>
      <w:r w:rsidRPr="4E2FD40D" w:rsidR="6FE74B14">
        <w:rPr>
          <w:rFonts w:ascii="Calibri" w:hAnsi="Calibri" w:asciiTheme="minorAscii" w:hAnsiTheme="minorAscii"/>
          <w:sz w:val="20"/>
          <w:szCs w:val="20"/>
        </w:rPr>
        <w:t>Lo sconto disponibile nell'ambito del Programma non può essere cumulato con altre offerte o riscattato in cambio di prodotti, servizi, contanti o crediti alternativi, ad eccezione di quanto espressamente autorizzato nei presenti Termini e condizioni.</w:t>
      </w:r>
    </w:p>
    <w:p w:rsidR="4E2FD40D" w:rsidP="4E2FD40D" w:rsidRDefault="4E2FD40D" w14:paraId="38D23B79" w14:textId="17B1E07D">
      <w:pPr>
        <w:pStyle w:val="OutlineL1"/>
        <w:ind w:left="420"/>
        <w:rPr/>
      </w:pPr>
      <w:r w:rsidRPr="4E2FD40D" w:rsidR="4E2FD40D">
        <w:rPr>
          <w:rFonts w:ascii="Calibri" w:hAnsi="Calibri" w:eastAsia="Calibri" w:cs="Calibri"/>
          <w:b w:val="1"/>
          <w:bCs w:val="1"/>
          <w:sz w:val="20"/>
          <w:szCs w:val="20"/>
        </w:rPr>
        <w:t>Idoneità</w:t>
      </w:r>
      <w:r w:rsidRPr="4E2FD40D" w:rsidR="4E2FD40D">
        <w:rPr>
          <w:rFonts w:ascii="Calibri" w:hAnsi="Calibri" w:eastAsia="Calibri" w:cs="Calibri"/>
          <w:sz w:val="20"/>
          <w:szCs w:val="20"/>
        </w:rPr>
        <w:t>. Il Programma non è valido laddove proibito dalla legge. Il Programma è aperto esclusivamente ai clienti finali con sede in Regno Unito, Danimarca, Finlandia, Francia, Germania, Islanda, Italia, Norvegia, Polonia, Portogallo, Spagna, Svezia, Svizzera, Algeria, Angola, Benin, Botswana, Burkina Faso, Camerun, Ciad, Congo, Egitto, Guinea Equatoriale, Eswatini, Gabon, Gambia, Ghana, Costa d’Avorio, Kenya, Lesotho, Liberia, Malawi, Mali, Mauritius, Marocco, Namibia, Nigeria, Ruanda, Senegal, Seychelles, Sierra Leone, Sudafrica, Tanzania, Togo, Tunisia, Turchia, Uganda, Zambia, Zimbabwe, Iraq, Giordania, Regno dell’Arabia Saudita, Kuwait, Libia, Oman, Qatar ed Emirati Arabi Uniti e, qualora il cliente finale sia una persona fisica, deve avere almeno 18 anni. Sono idonei a partecipare al Programma solo i clienti che siano utilizzatori finali e che utilizzino i Prodotti idonei (definiti nella Sezione 5 di seguito) per le proprie finalità aziendali. Nonostante l’elenco dei Paesi sopra riportato, la Promozione non è offerta in Paesi o giurisdizioni in cui sia vietata dalla legge, né in Paesi, giurisdizioni o regioni che siano, o diventino in futuro, soggetti a sanzioni o restrizioni commerciali dell’UE o degli Stati Uniti, anche se tali Paesi o giurisdizioni sono elencati sopra.</w:t>
      </w:r>
    </w:p>
    <w:p w:rsidR="4E2FD40D" w:rsidP="4E2FD40D" w:rsidRDefault="4E2FD40D" w14:paraId="60ACE670" w14:textId="602D9782">
      <w:pPr>
        <w:pStyle w:val="OutlineL1"/>
        <w:ind w:left="420"/>
        <w:rPr/>
      </w:pPr>
      <w:r w:rsidRPr="4E2FD40D" w:rsidR="4E2FD40D">
        <w:rPr>
          <w:rFonts w:ascii="Calibri" w:hAnsi="Calibri" w:eastAsia="Calibri" w:cs="Calibri"/>
          <w:sz w:val="20"/>
          <w:szCs w:val="20"/>
        </w:rPr>
        <w:t>I dipendenti, i direttori e i funzionari dello Sponsor, delle sue società madri, affiliate e controllate, dei distributori, dei rappresentanti, nonché i familiari stretti di tali persone (genitori, fratelli, figli e coniuge) e le persone conviventi nello stesso nucleo familiare (siano esse imparentate o meno), non sono idonei a partecipare al Programma. Inoltre, non sono idonei a partecipare al Programma dipendenti, funzionari, direttori, rappresentanti o agenti di distributori o produttori di strumenti concorrenti.</w:t>
      </w:r>
    </w:p>
    <w:p w:rsidRPr="00DF1A26" w:rsidR="007547E0" w:rsidP="007547E0" w:rsidRDefault="007547E0" w14:paraId="52677448" w14:textId="77777777">
      <w:pPr>
        <w:pStyle w:val="OutlineL1"/>
        <w:tabs>
          <w:tab w:val="clear" w:pos="1008"/>
          <w:tab w:val="num" w:pos="576"/>
        </w:tabs>
        <w:ind w:left="432"/>
        <w:rPr>
          <w:sz w:val="20"/>
          <w:rFonts w:asciiTheme="minorHAnsi" w:hAnsiTheme="minorHAnsi" w:cstheme="minorHAnsi"/>
        </w:rPr>
      </w:pPr>
      <w:r>
        <w:rPr>
          <w:sz w:val="20"/>
          <w:b/>
          <w:rFonts w:asciiTheme="minorHAnsi" w:hAnsiTheme="minorHAnsi"/>
        </w:rPr>
        <w:t xml:space="preserve">Esclusione di responsabilità</w:t>
      </w:r>
      <w:r>
        <w:rPr>
          <w:sz w:val="20"/>
          <w:rFonts w:asciiTheme="minorHAnsi" w:hAnsiTheme="minorHAnsi"/>
        </w:rPr>
        <w:t xml:space="preserve">.</w:t>
      </w:r>
      <w:r>
        <w:rPr>
          <w:sz w:val="20"/>
          <w:rFonts w:asciiTheme="minorHAnsi" w:hAnsiTheme="minorHAnsi"/>
        </w:rPr>
        <w:t xml:space="preserve">  </w:t>
      </w:r>
      <w:r>
        <w:rPr>
          <w:sz w:val="20"/>
          <w:rFonts w:asciiTheme="minorHAnsi" w:hAnsiTheme="minorHAnsi"/>
        </w:rPr>
        <w:t xml:space="preserve">Lo Sponsor e ciascuna delle sue società madri, controllate e affiliate, nonché i rispettivi direttori, dirigenti, consulenti professionali, rappresentanti, dipendenti e agenti (collettivamente, le "</w:t>
      </w:r>
      <w:r>
        <w:rPr>
          <w:sz w:val="20"/>
          <w:rStyle w:val="Emphasis"/>
          <w:rFonts w:asciiTheme="minorHAnsi" w:hAnsiTheme="minorHAnsi"/>
        </w:rPr>
        <w:t xml:space="preserve">Parti liberate dagli obblighi</w:t>
      </w:r>
      <w:r>
        <w:rPr>
          <w:sz w:val="20"/>
          <w:rFonts w:asciiTheme="minorHAnsi" w:hAnsiTheme="minorHAnsi"/>
        </w:rPr>
        <w:t xml:space="preserve">") non saranno responsabili né avranno alcuna responsabilità per:</w:t>
      </w:r>
      <w:r>
        <w:rPr>
          <w:sz w:val="20"/>
          <w:rFonts w:asciiTheme="minorHAnsi" w:hAnsiTheme="minorHAnsi"/>
        </w:rPr>
        <w:t xml:space="preserve"> </w:t>
      </w:r>
      <w:r>
        <w:rPr>
          <w:sz w:val="20"/>
          <w:rFonts w:asciiTheme="minorHAnsi" w:hAnsiTheme="minorHAnsi"/>
        </w:rPr>
        <w:t xml:space="preserve">(a) trasmissioni o richieste di acquisto in ritardo, smarrite, instradate erroneamente, illeggibili, distorte o danneggiate; (b) malfunzionamenti o guasti telefonici, elettronici, hardware, software, di rete, Internet o altri malfunzionamenti o guasti relativi a computer o comunicazioni al di fuori del ragionevole controllo dello Sponsor o delle Parti liberate dagli obblighi; (c) interruzioni del Programma, infortuni, perdite o danni causati da eventi al di fuori del ragionevole controllo dello Sponsor o da interventi umani non autorizzati; oppure (d) errori di stampa o tipografici in qualsiasi materiale associato alla Promozione.</w:t>
      </w:r>
    </w:p>
    <w:p w:rsidRPr="003956A1" w:rsidR="007547E0" w:rsidP="007547E0" w:rsidRDefault="007547E0" w14:paraId="65E4BCFB" w14:textId="3C6ADF72">
      <w:pPr>
        <w:pStyle w:val="OutlineL1"/>
        <w:tabs>
          <w:tab w:val="clear" w:pos="1008"/>
          <w:tab w:val="num" w:pos="576"/>
        </w:tabs>
        <w:ind w:left="432"/>
        <w:rPr>
          <w:sz w:val="20"/>
          <w:rFonts w:asciiTheme="minorHAnsi" w:hAnsiTheme="minorHAnsi" w:cstheme="minorHAnsi"/>
        </w:rPr>
      </w:pPr>
      <w:r>
        <w:rPr>
          <w:sz w:val="20"/>
          <w:b/>
          <w:rFonts w:asciiTheme="minorHAnsi" w:hAnsiTheme="minorHAnsi"/>
        </w:rPr>
        <w:t xml:space="preserve">Periodo di validità del Programma</w:t>
      </w:r>
      <w:r>
        <w:rPr>
          <w:sz w:val="20"/>
          <w:rFonts w:asciiTheme="minorHAnsi" w:hAnsiTheme="minorHAnsi"/>
        </w:rPr>
        <w:t xml:space="preserve">.</w:t>
      </w:r>
      <w:r>
        <w:rPr>
          <w:sz w:val="20"/>
          <w:rFonts w:asciiTheme="minorHAnsi" w:hAnsiTheme="minorHAnsi"/>
        </w:rPr>
        <w:t xml:space="preserve">  </w:t>
      </w:r>
      <w:r>
        <w:rPr>
          <w:sz w:val="20"/>
          <w:rFonts w:asciiTheme="minorHAnsi" w:hAnsiTheme="minorHAnsi"/>
        </w:rPr>
        <w:t xml:space="preserve">Il Programma inizia il 1</w:t>
      </w:r>
      <w:r>
        <w:rPr>
          <w:sz w:val="20"/>
          <w:vertAlign w:val="superscript"/>
          <w:rFonts w:asciiTheme="minorHAnsi" w:hAnsiTheme="minorHAnsi"/>
        </w:rPr>
        <w:t xml:space="preserve">o</w:t>
      </w:r>
      <w:r>
        <w:rPr>
          <w:sz w:val="20"/>
          <w:rFonts w:asciiTheme="minorHAnsi" w:hAnsiTheme="minorHAnsi"/>
        </w:rPr>
        <w:t xml:space="preserve"> settembre e termina il 15</w:t>
      </w:r>
      <w:r>
        <w:rPr>
          <w:sz w:val="20"/>
          <w:vertAlign w:val="superscript"/>
          <w:rFonts w:asciiTheme="minorHAnsi" w:hAnsiTheme="minorHAnsi"/>
        </w:rPr>
        <w:t xml:space="preserve"> </w:t>
      </w:r>
      <w:r>
        <w:rPr>
          <w:sz w:val="20"/>
          <w:rFonts w:asciiTheme="minorHAnsi" w:hAnsiTheme="minorHAnsi"/>
        </w:rPr>
        <w:t xml:space="preserve">dicembre 2026 (il "</w:t>
      </w:r>
      <w:r>
        <w:rPr>
          <w:sz w:val="20"/>
          <w:rStyle w:val="Emphasis"/>
          <w:rFonts w:asciiTheme="minorHAnsi" w:hAnsiTheme="minorHAnsi"/>
        </w:rPr>
        <w:t xml:space="preserve">Periodo di validità del Programma</w:t>
      </w:r>
      <w:r>
        <w:rPr>
          <w:sz w:val="20"/>
          <w:rFonts w:asciiTheme="minorHAnsi" w:hAnsiTheme="minorHAnsi"/>
        </w:rPr>
        <w:t xml:space="preserve">").</w:t>
      </w:r>
    </w:p>
    <w:p w:rsidRPr="00DF1A26" w:rsidR="007547E0" w:rsidP="007547E0" w:rsidRDefault="007547E0" w14:paraId="1332C653" w14:textId="77777777">
      <w:pPr>
        <w:pStyle w:val="OutlineL1"/>
        <w:keepNext/>
        <w:tabs>
          <w:tab w:val="clear" w:pos="1008"/>
          <w:tab w:val="num" w:pos="576"/>
        </w:tabs>
        <w:ind w:left="432"/>
        <w:rPr>
          <w:sz w:val="20"/>
          <w:rFonts w:asciiTheme="minorHAnsi" w:hAnsiTheme="minorHAnsi" w:cstheme="minorHAnsi"/>
        </w:rPr>
      </w:pPr>
      <w:r>
        <w:rPr>
          <w:sz w:val="20"/>
          <w:b/>
          <w:rFonts w:asciiTheme="minorHAnsi" w:hAnsiTheme="minorHAnsi"/>
        </w:rPr>
        <w:t xml:space="preserve">Dettagli del programma</w:t>
      </w:r>
      <w:r>
        <w:rPr>
          <w:sz w:val="20"/>
          <w:rFonts w:asciiTheme="minorHAnsi" w:hAnsiTheme="minorHAnsi"/>
        </w:rPr>
        <w:t xml:space="preserve">.</w:t>
      </w:r>
      <w:r>
        <w:rPr>
          <w:sz w:val="20"/>
          <w:rFonts w:asciiTheme="minorHAnsi" w:hAnsiTheme="minorHAnsi"/>
        </w:rPr>
        <w:t xml:space="preserve">  </w:t>
      </w:r>
    </w:p>
    <w:p w:rsidRPr="00DF1A26" w:rsidR="007547E0" w:rsidP="007547E0" w:rsidRDefault="007547E0" w14:paraId="1DEF092A" w14:textId="77777777">
      <w:pPr>
        <w:pStyle w:val="BodyText"/>
        <w:ind w:left="432"/>
        <w:rPr>
          <w:sz w:val="20"/>
          <w:szCs w:val="20"/>
          <w:rFonts w:asciiTheme="minorHAnsi" w:hAnsiTheme="minorHAnsi" w:cstheme="minorHAnsi"/>
        </w:rPr>
      </w:pPr>
      <w:r>
        <w:rPr>
          <w:sz w:val="20"/>
          <w:rFonts w:asciiTheme="minorHAnsi" w:hAnsiTheme="minorHAnsi"/>
        </w:rPr>
        <w:t xml:space="preserve">I prodotti elencati nella tabella seguente sono idonei per essere permutati nell'ambito del programma, con un risparmio specificato rispetto al prezzo di listino corrente:</w:t>
      </w:r>
      <w:r>
        <w:rPr>
          <w:sz w:val="20"/>
          <w:rFonts w:asciiTheme="minorHAnsi" w:hAnsiTheme="minorHAnsi"/>
        </w:rPr>
        <w:t xml:space="preserve"> </w:t>
      </w:r>
    </w:p>
    <w:tbl>
      <w:tblPr>
        <w:tblStyle w:val="TableGrid"/>
        <w:tblW w:w="9072" w:type="dxa"/>
        <w:tblInd w:w="421" w:type="dxa"/>
        <w:tblLook w:val="04A0" w:firstRow="1" w:lastRow="0" w:firstColumn="1" w:lastColumn="0" w:noHBand="0" w:noVBand="1"/>
      </w:tblPr>
      <w:tblGrid>
        <w:gridCol w:w="3624"/>
        <w:gridCol w:w="3038"/>
        <w:gridCol w:w="2410"/>
      </w:tblGrid>
      <w:tr w:rsidRPr="00DF1A26" w:rsidR="007547E0" w:rsidTr="4E2FD40D" w14:paraId="6541298E" w14:textId="77777777">
        <w:trPr>
          <w:trHeight w:val="503"/>
        </w:trPr>
        <w:tc>
          <w:tcPr>
            <w:tcW w:w="3624" w:type="dxa"/>
            <w:tcMar/>
          </w:tcPr>
          <w:p w:rsidRPr="00DF1A26" w:rsidR="007547E0" w:rsidP="007547E0" w:rsidRDefault="007547E0" w14:paraId="763F4DC5" w14:textId="77777777">
            <w:pPr>
              <w:rPr>
                <w:b/>
                <w:sz w:val="20"/>
                <w:szCs w:val="20"/>
                <w:rFonts w:asciiTheme="minorHAnsi" w:hAnsiTheme="minorHAnsi" w:cstheme="minorHAnsi"/>
              </w:rPr>
            </w:pPr>
            <w:r>
              <w:rPr>
                <w:sz w:val="20"/>
                <w:b/>
                <w:rFonts w:asciiTheme="minorHAnsi" w:hAnsiTheme="minorHAnsi"/>
              </w:rPr>
              <w:t xml:space="preserve">Permuta questo prodotto</w:t>
            </w:r>
          </w:p>
          <w:p w:rsidRPr="00DF1A26" w:rsidR="007547E0" w:rsidP="007547E0" w:rsidRDefault="007547E0" w14:paraId="759783A3" w14:textId="77777777">
            <w:pPr>
              <w:rPr>
                <w:b/>
                <w:sz w:val="20"/>
                <w:szCs w:val="20"/>
                <w:rFonts w:asciiTheme="minorHAnsi" w:hAnsiTheme="minorHAnsi" w:cstheme="minorHAnsi"/>
              </w:rPr>
            </w:pPr>
            <w:r>
              <w:rPr>
                <w:sz w:val="20"/>
                <w:b/>
                <w:rFonts w:asciiTheme="minorHAnsi" w:hAnsiTheme="minorHAnsi"/>
              </w:rPr>
              <w:t xml:space="preserve">("Prodotti idonei")</w:t>
            </w:r>
          </w:p>
        </w:tc>
        <w:tc>
          <w:tcPr>
            <w:tcW w:w="3038" w:type="dxa"/>
            <w:tcMar/>
          </w:tcPr>
          <w:p w:rsidRPr="00DF1A26" w:rsidR="007547E0" w:rsidP="007547E0" w:rsidRDefault="007547E0" w14:paraId="50A1F4D5" w14:textId="77777777">
            <w:pPr>
              <w:rPr>
                <w:b/>
                <w:sz w:val="20"/>
                <w:szCs w:val="20"/>
                <w:rFonts w:asciiTheme="minorHAnsi" w:hAnsiTheme="minorHAnsi" w:cstheme="minorHAnsi"/>
              </w:rPr>
            </w:pPr>
            <w:r>
              <w:rPr>
                <w:sz w:val="20"/>
                <w:b/>
                <w:rFonts w:asciiTheme="minorHAnsi" w:hAnsiTheme="minorHAnsi"/>
              </w:rPr>
              <w:t xml:space="preserve">Acquista questo prodotto</w:t>
            </w:r>
          </w:p>
          <w:p w:rsidRPr="00DF1A26" w:rsidR="007547E0" w:rsidP="007547E0" w:rsidRDefault="007547E0" w14:paraId="703A6984" w14:textId="77777777">
            <w:pPr>
              <w:rPr>
                <w:rFonts w:asciiTheme="minorHAnsi" w:hAnsiTheme="minorHAnsi" w:cstheme="minorHAnsi"/>
                <w:b/>
                <w:sz w:val="20"/>
                <w:szCs w:val="20"/>
              </w:rPr>
            </w:pPr>
          </w:p>
        </w:tc>
        <w:tc>
          <w:tcPr>
            <w:tcW w:w="2410" w:type="dxa"/>
            <w:tcMar/>
          </w:tcPr>
          <w:p w:rsidRPr="00DF1A26" w:rsidR="007547E0" w:rsidP="007547E0" w:rsidRDefault="007547E0" w14:paraId="0BEEDA80" w14:textId="77777777">
            <w:pPr>
              <w:rPr>
                <w:b/>
                <w:sz w:val="20"/>
                <w:szCs w:val="20"/>
                <w:rFonts w:asciiTheme="minorHAnsi" w:hAnsiTheme="minorHAnsi" w:cstheme="minorHAnsi"/>
              </w:rPr>
            </w:pPr>
            <w:r>
              <w:rPr>
                <w:sz w:val="20"/>
                <w:b/>
                <w:rFonts w:asciiTheme="minorHAnsi" w:hAnsiTheme="minorHAnsi"/>
              </w:rPr>
              <w:t xml:space="preserve">Risparmio</w:t>
            </w:r>
          </w:p>
        </w:tc>
      </w:tr>
      <w:tr w:rsidRPr="00DF1A26" w:rsidR="007547E0" w:rsidTr="4E2FD40D" w14:paraId="361380C5" w14:textId="77777777">
        <w:trPr>
          <w:trHeight w:val="558"/>
        </w:trPr>
        <w:tc>
          <w:tcPr>
            <w:tcW w:w="3624" w:type="dxa"/>
            <w:tcMar/>
          </w:tcPr>
          <w:p w:rsidRPr="00FA453F" w:rsidR="001D4756" w:rsidP="001D4756" w:rsidRDefault="001D4756" w14:paraId="45FD74FA" w14:textId="7B3AC81E">
            <w:pPr>
              <w:pStyle w:val="BodyText"/>
              <w:ind w:left="0"/>
              <w:rPr>
                <w:color w:val="000000" w:themeColor="text1"/>
                <w:sz w:val="20"/>
                <w:szCs w:val="20"/>
                <w:rFonts w:asciiTheme="minorHAnsi" w:hAnsiTheme="minorHAnsi" w:cstheme="minorHAnsi"/>
              </w:rPr>
            </w:pPr>
            <w:r w:rsidRPr="4E2FD40D" w:rsidR="57981638">
              <w:rPr>
                <w:rFonts w:ascii="Calibri" w:hAnsi="Calibri" w:asciiTheme="minorAscii" w:hAnsiTheme="minorAscii"/>
                <w:color w:val="000000" w:themeColor="text1" w:themeTint="FF" w:themeShade="FF"/>
                <w:sz w:val="20"/>
                <w:szCs w:val="20"/>
              </w:rPr>
              <w:t>ShaftAlign/Aligneo, OptAlign Plus, OptAlign Plus EX, Levalign, SmartAlign, OptAlign smart, OptAlign Smart RS5, RotAlign, RotAlign Pro, RotAlign Ultra, RotAlign Ultra II, RotAlign Ultra iS</w:t>
            </w:r>
          </w:p>
          <w:p w:rsidR="4E2FD40D" w:rsidP="4E2FD40D" w:rsidRDefault="4E2FD40D" w14:paraId="0BF0C828" w14:textId="0D6F5438">
            <w:pPr>
              <w:pStyle w:val="Normal"/>
            </w:pPr>
            <w:r w:rsidRPr="4E2FD40D" w:rsidR="4E2FD40D">
              <w:rPr>
                <w:rFonts w:ascii="Calibri" w:hAnsi="Calibri" w:eastAsia="Calibri" w:cs="Calibri"/>
                <w:color w:val="000000" w:themeColor="text1" w:themeTint="FF" w:themeShade="FF"/>
                <w:sz w:val="20"/>
                <w:szCs w:val="20"/>
              </w:rPr>
              <w:t>o prodotti di produttori terzi comparabili (come stabilito dallo Sponsor o dal distributore Fluke locale)</w:t>
            </w:r>
          </w:p>
        </w:tc>
        <w:tc>
          <w:tcPr>
            <w:tcW w:w="3038" w:type="dxa"/>
            <w:tcMar/>
          </w:tcPr>
          <w:p w:rsidRPr="00FA453F" w:rsidR="007547E0" w:rsidP="007547E0" w:rsidRDefault="007547E0" w14:paraId="0CF629E2" w14:textId="792CA5CD">
            <w:pPr>
              <w:rPr>
                <w:color w:val="000000" w:themeColor="text1"/>
                <w:sz w:val="20"/>
                <w:szCs w:val="20"/>
                <w:rFonts w:asciiTheme="minorHAnsi" w:hAnsiTheme="minorHAnsi" w:cstheme="minorHAnsi"/>
              </w:rPr>
            </w:pPr>
            <w:r>
              <w:rPr>
                <w:sz w:val="20"/>
                <w:color w:val="000000" w:themeColor="text1"/>
                <w:b/>
                <w:rFonts w:asciiTheme="minorHAnsi" w:hAnsiTheme="minorHAnsi"/>
              </w:rPr>
              <w:t xml:space="preserve">Allineamento:</w:t>
            </w:r>
            <w:r>
              <w:rPr>
                <w:sz w:val="20"/>
                <w:color w:val="000000" w:themeColor="text1"/>
                <w:rFonts w:asciiTheme="minorHAnsi" w:hAnsiTheme="minorHAnsi"/>
              </w:rPr>
              <w:t xml:space="preserve"> </w:t>
            </w:r>
            <w:r>
              <w:rPr>
                <w:sz w:val="20"/>
                <w:color w:val="000000" w:themeColor="text1"/>
                <w:rFonts w:asciiTheme="minorHAnsi" w:hAnsiTheme="minorHAnsi"/>
              </w:rPr>
              <w:t xml:space="preserve">New Alignment Rotalign, Optalign, ShaftAlign</w:t>
            </w:r>
          </w:p>
          <w:p w:rsidRPr="00FA453F" w:rsidR="007547E0" w:rsidP="007547E0" w:rsidRDefault="007547E0" w14:paraId="5AB17E12" w14:textId="77777777">
            <w:pPr>
              <w:rPr>
                <w:color w:val="000000" w:themeColor="text1"/>
                <w:sz w:val="20"/>
                <w:szCs w:val="20"/>
                <w:rFonts w:asciiTheme="minorHAnsi" w:hAnsiTheme="minorHAnsi" w:cstheme="minorHAnsi"/>
              </w:rPr>
            </w:pPr>
            <w:r>
              <w:rPr>
                <w:sz w:val="20"/>
                <w:color w:val="000000" w:themeColor="text1"/>
                <w:b/>
                <w:rFonts w:asciiTheme="minorHAnsi" w:hAnsiTheme="minorHAnsi"/>
              </w:rPr>
              <w:t xml:space="preserve">Monitoraggio delle condizioni/vibrazioni:</w:t>
            </w:r>
            <w:r>
              <w:rPr>
                <w:sz w:val="20"/>
                <w:color w:val="000000" w:themeColor="text1"/>
                <w:rFonts w:asciiTheme="minorHAnsi" w:hAnsiTheme="minorHAnsi"/>
              </w:rPr>
              <w:t xml:space="preserve"> </w:t>
            </w:r>
            <w:r>
              <w:rPr>
                <w:sz w:val="20"/>
                <w:color w:val="000000" w:themeColor="text1"/>
                <w:rFonts w:asciiTheme="minorHAnsi" w:hAnsiTheme="minorHAnsi"/>
              </w:rPr>
              <w:t xml:space="preserve">Vibscanner 2, Vibscanner 2 EX, Vibxpert 2, Vibxpert 3</w:t>
            </w:r>
          </w:p>
          <w:p w:rsidRPr="00FA453F" w:rsidR="007547E0" w:rsidP="007547E0" w:rsidRDefault="007547E0" w14:paraId="663E5081" w14:textId="77777777">
            <w:pPr>
              <w:rPr>
                <w:rFonts w:asciiTheme="minorHAnsi" w:hAnsiTheme="minorHAnsi" w:cstheme="minorHAnsi"/>
                <w:color w:val="000000" w:themeColor="text1"/>
                <w:sz w:val="20"/>
                <w:szCs w:val="20"/>
              </w:rPr>
            </w:pPr>
          </w:p>
        </w:tc>
        <w:tc>
          <w:tcPr>
            <w:tcW w:w="2410" w:type="dxa"/>
            <w:tcMar/>
          </w:tcPr>
          <w:p w:rsidR="007547E0" w:rsidP="007547E0" w:rsidRDefault="00FA453F" w14:paraId="7D35CBD4" w14:textId="68D8EF13">
            <w:pPr>
              <w:rPr>
                <w:sz w:val="20"/>
                <w:szCs w:val="20"/>
                <w:rFonts w:asciiTheme="minorHAnsi" w:hAnsiTheme="minorHAnsi" w:cstheme="minorHAnsi"/>
              </w:rPr>
            </w:pPr>
            <w:r>
              <w:rPr>
                <w:sz w:val="20"/>
                <w:rFonts w:asciiTheme="minorHAnsi" w:hAnsiTheme="minorHAnsi"/>
              </w:rPr>
              <w:t xml:space="preserve">Fino al 25% di sconto sul prezzo di listino locale applicabile da concordare con il rappresentante commerciale</w:t>
            </w:r>
          </w:p>
          <w:p w:rsidRPr="00DF1A26" w:rsidR="0020217D" w:rsidP="007547E0" w:rsidRDefault="0020217D" w14:paraId="7FA34824" w14:textId="6558A163">
            <w:pPr>
              <w:rPr>
                <w:rFonts w:asciiTheme="minorHAnsi" w:hAnsiTheme="minorHAnsi" w:cstheme="minorHAnsi"/>
                <w:sz w:val="20"/>
                <w:szCs w:val="20"/>
              </w:rPr>
            </w:pPr>
          </w:p>
        </w:tc>
      </w:tr>
    </w:tbl>
    <w:p w:rsidRPr="00DF1A26" w:rsidR="007547E0" w:rsidP="007547E0" w:rsidRDefault="007547E0" w14:paraId="253FCA6D" w14:textId="77777777">
      <w:pPr>
        <w:pStyle w:val="BodyText"/>
        <w:spacing w:before="240"/>
        <w:ind w:left="432"/>
        <w:rPr>
          <w:b/>
          <w:sz w:val="20"/>
          <w:szCs w:val="20"/>
          <w:rFonts w:asciiTheme="minorHAnsi" w:hAnsiTheme="minorHAnsi" w:cstheme="minorHAnsi"/>
        </w:rPr>
      </w:pPr>
      <w:r w:rsidRPr="4E2FD40D" w:rsidR="6FE74B14">
        <w:rPr>
          <w:rFonts w:ascii="Calibri" w:hAnsi="Calibri" w:asciiTheme="minorAscii" w:hAnsiTheme="minorAscii"/>
          <w:b w:val="1"/>
          <w:bCs w:val="1"/>
          <w:sz w:val="20"/>
          <w:szCs w:val="20"/>
        </w:rPr>
        <w:t>Per completare la permuta di un Prodotto idoneo, segui le istruzioni riportate di seguito:</w:t>
      </w:r>
    </w:p>
    <w:p w:rsidR="4E2FD40D" w:rsidP="4E2FD40D" w:rsidRDefault="4E2FD40D" w14:paraId="322BEE3B" w14:textId="4178DBC9">
      <w:pPr>
        <w:pStyle w:val="ListParagraph"/>
        <w:numPr>
          <w:ilvl w:val="0"/>
          <w:numId w:val="2"/>
        </w:numPr>
        <w:rPr/>
      </w:pPr>
      <w:r w:rsidRPr="4E2FD40D" w:rsidR="4E2FD40D">
        <w:rPr>
          <w:rFonts w:ascii="Calibri" w:hAnsi="Calibri" w:eastAsia="Calibri" w:cs="Calibri"/>
          <w:sz w:val="20"/>
          <w:szCs w:val="20"/>
        </w:rPr>
        <w:t>Invia un’e-mail al tuo rappresentante commerciale Fluke Condition Monitoring &amp; Alignment o al distributore Fluke locale con le seguenti informazioni:</w:t>
      </w:r>
    </w:p>
    <w:p w:rsidRPr="00796E58" w:rsidR="007547E0" w:rsidP="007547E0" w:rsidRDefault="007547E0" w14:paraId="567EEC25" w14:textId="77777777">
      <w:pPr>
        <w:pStyle w:val="OutlineL1"/>
        <w:numPr>
          <w:ilvl w:val="1"/>
          <w:numId w:val="2"/>
        </w:numPr>
        <w:ind w:left="1152"/>
        <w:rPr>
          <w:sz w:val="20"/>
          <w:rFonts w:asciiTheme="minorHAnsi" w:hAnsiTheme="minorHAnsi" w:cstheme="minorHAnsi"/>
        </w:rPr>
      </w:pPr>
      <w:r>
        <w:rPr>
          <w:sz w:val="20"/>
          <w:rFonts w:asciiTheme="minorHAnsi" w:hAnsiTheme="minorHAnsi"/>
        </w:rPr>
        <w:t xml:space="preserve">nome e numero di serie del prodotto da permutare;</w:t>
      </w:r>
    </w:p>
    <w:p w:rsidRPr="00796E58" w:rsidR="007547E0" w:rsidP="007547E0" w:rsidRDefault="007547E0" w14:paraId="5E361FDB" w14:textId="77777777">
      <w:pPr>
        <w:pStyle w:val="OutlineL1"/>
        <w:numPr>
          <w:ilvl w:val="1"/>
          <w:numId w:val="2"/>
        </w:numPr>
        <w:ind w:left="1152"/>
        <w:rPr>
          <w:sz w:val="20"/>
          <w:rFonts w:asciiTheme="minorHAnsi" w:hAnsiTheme="minorHAnsi" w:cstheme="minorHAnsi"/>
        </w:rPr>
      </w:pPr>
      <w:r>
        <w:rPr>
          <w:sz w:val="20"/>
          <w:rFonts w:asciiTheme="minorHAnsi" w:hAnsiTheme="minorHAnsi"/>
        </w:rPr>
        <w:t xml:space="preserve">prodotto di interesse per l'acquisto;</w:t>
      </w:r>
    </w:p>
    <w:p w:rsidRPr="00796E58" w:rsidR="007547E0" w:rsidP="007547E0" w:rsidRDefault="007547E0" w14:paraId="5D70FB49" w14:textId="77777777">
      <w:pPr>
        <w:pStyle w:val="OutlineL1"/>
        <w:numPr>
          <w:ilvl w:val="1"/>
          <w:numId w:val="2"/>
        </w:numPr>
        <w:ind w:left="1152"/>
        <w:rPr>
          <w:sz w:val="20"/>
          <w:rFonts w:asciiTheme="minorHAnsi" w:hAnsiTheme="minorHAnsi" w:cstheme="minorHAnsi"/>
        </w:rPr>
      </w:pPr>
      <w:r>
        <w:rPr>
          <w:sz w:val="20"/>
          <w:rFonts w:asciiTheme="minorHAnsi" w:hAnsiTheme="minorHAnsi"/>
        </w:rPr>
        <w:t xml:space="preserve">informazioni di contatto: nome, azienda, e-mail e telefono</w:t>
      </w:r>
    </w:p>
    <w:p w:rsidRPr="00796E58" w:rsidR="007547E0" w:rsidP="007547E0" w:rsidRDefault="007547E0" w14:paraId="5264FA7B" w14:textId="77777777">
      <w:pPr>
        <w:pStyle w:val="OutlineL1"/>
        <w:numPr>
          <w:ilvl w:val="0"/>
          <w:numId w:val="0"/>
        </w:numPr>
        <w:ind w:left="792"/>
        <w:rPr>
          <w:sz w:val="20"/>
          <w:rFonts w:asciiTheme="minorHAnsi" w:hAnsiTheme="minorHAnsi" w:cstheme="minorHAnsi"/>
        </w:rPr>
      </w:pPr>
      <w:r>
        <w:rPr>
          <w:sz w:val="20"/>
          <w:rFonts w:asciiTheme="minorHAnsi" w:hAnsiTheme="minorHAnsi"/>
        </w:rPr>
        <w:t xml:space="preserve">Riceverai una telefonata e/o un'e-mail con un preventivo e ulteriori informazioni sui passaggi successivi.</w:t>
      </w:r>
    </w:p>
    <w:p w:rsidR="007547E0" w:rsidP="007547E0" w:rsidRDefault="007547E0" w14:paraId="06EA2E28" w14:textId="77777777">
      <w:pPr>
        <w:pStyle w:val="OutlineL1"/>
        <w:numPr>
          <w:ilvl w:val="0"/>
          <w:numId w:val="2"/>
        </w:numPr>
        <w:ind w:left="792"/>
        <w:rPr>
          <w:sz w:val="20"/>
          <w:rFonts w:asciiTheme="minorHAnsi" w:hAnsiTheme="minorHAnsi" w:cstheme="minorHAnsi"/>
        </w:rPr>
      </w:pPr>
      <w:r>
        <w:rPr>
          <w:sz w:val="20"/>
          <w:rFonts w:asciiTheme="minorHAnsi" w:hAnsiTheme="minorHAnsi"/>
        </w:rPr>
        <w:t xml:space="preserve">Includi questo codice promozionale nel tuo ordine di acquisto:</w:t>
      </w:r>
      <w:r>
        <w:rPr>
          <w:sz w:val="20"/>
          <w:rFonts w:asciiTheme="minorHAnsi" w:hAnsiTheme="minorHAnsi"/>
        </w:rPr>
        <w:t xml:space="preserve">    </w:t>
      </w:r>
    </w:p>
    <w:p w:rsidR="007547E0" w:rsidP="007547E0" w:rsidRDefault="006E20B3" w14:paraId="60F97677" w14:textId="6362E62B">
      <w:pPr>
        <w:pStyle w:val="OutlineL1"/>
        <w:numPr>
          <w:ilvl w:val="1"/>
          <w:numId w:val="2"/>
        </w:numPr>
        <w:rPr>
          <w:sz w:val="20"/>
          <w:rFonts w:asciiTheme="minorHAnsi" w:hAnsiTheme="minorHAnsi" w:cstheme="minorHAnsi"/>
        </w:rPr>
      </w:pPr>
      <w:r>
        <w:rPr>
          <w:sz w:val="20"/>
          <w:rFonts w:asciiTheme="minorHAnsi" w:hAnsiTheme="minorHAnsi"/>
        </w:rPr>
        <w:t xml:space="preserve">CMA-Trade-In-Campaign-2026-EMEA</w:t>
      </w:r>
    </w:p>
    <w:p w:rsidRPr="00796E58" w:rsidR="007547E0" w:rsidP="4E2FD40D" w:rsidRDefault="007547E0" w14:paraId="62048557" w14:textId="77777777">
      <w:pPr>
        <w:pStyle w:val="OutlineL9"/>
        <w:ind w:left="792"/>
        <w:rPr>
          <w:sz w:val="20"/>
          <w:rFonts w:asciiTheme="minorHAnsi" w:hAnsiTheme="minorHAnsi" w:cstheme="minorHAnsi"/>
        </w:rPr>
      </w:pPr>
      <w:r w:rsidRPr="4E2FD40D" w:rsidR="6FE74B14">
        <w:rPr>
          <w:rFonts w:ascii="Calibri" w:hAnsi="Calibri" w:asciiTheme="minorAscii" w:hAnsiTheme="minorAscii"/>
          <w:sz w:val="20"/>
          <w:szCs w:val="20"/>
        </w:rPr>
        <w:t>Indica il valore del tuo ordine di acquisto al prezzo di listino del preventivo e applica lo sconto che ti è stato assegnato.</w:t>
      </w:r>
      <w:r w:rsidRPr="4E2FD40D" w:rsidR="6FE74B14">
        <w:rPr>
          <w:rFonts w:ascii="Calibri" w:hAnsi="Calibri" w:asciiTheme="minorAscii" w:hAnsiTheme="minorAscii"/>
          <w:sz w:val="20"/>
          <w:szCs w:val="20"/>
        </w:rPr>
        <w:t xml:space="preserve"> </w:t>
      </w:r>
    </w:p>
    <w:p w:rsidR="4E2FD40D" w:rsidP="4E2FD40D" w:rsidRDefault="4E2FD40D" w14:paraId="1DB17B13" w14:textId="082DB2CF">
      <w:pPr>
        <w:pStyle w:val="ListParagraph"/>
        <w:numPr>
          <w:ilvl w:val="0"/>
          <w:numId w:val="2"/>
        </w:numPr>
        <w:rPr/>
      </w:pPr>
      <w:r w:rsidRPr="4E2FD40D" w:rsidR="4E2FD40D">
        <w:rPr>
          <w:rFonts w:ascii="Calibri" w:hAnsi="Calibri" w:eastAsia="Calibri" w:cs="Calibri"/>
          <w:sz w:val="20"/>
          <w:szCs w:val="20"/>
        </w:rPr>
        <w:t>Quando lo Sponsor o il distributore Fluke locale riceve l’ordine, può emettere un’Autorizzazione al reso del materiale (“RMA”) per la restituzione del prodotto in permuta oppure richiedere l’invio di un’immagine che dimostri che il Prodotto idoneo è stato distrutto.</w:t>
      </w:r>
    </w:p>
    <w:p w:rsidR="4E2FD40D" w:rsidP="4E2FD40D" w:rsidRDefault="4E2FD40D" w14:paraId="73CD3AA7" w14:textId="7A63CBAC">
      <w:pPr>
        <w:pStyle w:val="ListParagraph"/>
        <w:numPr>
          <w:ilvl w:val="0"/>
          <w:numId w:val="2"/>
        </w:numPr>
        <w:rPr/>
      </w:pPr>
      <w:r w:rsidRPr="4E2FD40D" w:rsidR="4E2FD40D">
        <w:rPr>
          <w:rFonts w:ascii="Calibri" w:hAnsi="Calibri" w:eastAsia="Calibri" w:cs="Calibri"/>
          <w:sz w:val="20"/>
          <w:szCs w:val="20"/>
        </w:rPr>
        <w:t>Se richiesto, devi restituire il prodotto in permuta entro sei settimane dalla spedizione del nuovo prodotto in cambio dello sconto di permuta. In caso di mancata restituzione, ti verrà addebitata la percentuale o l’importo dello sconto che lo Sponsor o il distributore Fluke locale ti ha concesso nell’ambito del Programma. Per restituire il prodotto in permuta, scrivi il numero RMA sul cartone di spedizione e spediscilo all’indirizzo indicato nell’RMA oppure, se non specificato, al tuo rappresentante commerciale Fluke locale o al distributore Fluke locale.</w:t>
      </w:r>
    </w:p>
    <w:p w:rsidR="4E2FD40D" w:rsidP="4E2FD40D" w:rsidRDefault="4E2FD40D" w14:paraId="4928BD21" w14:textId="2EB20526">
      <w:pPr>
        <w:pStyle w:val="OutlineL1"/>
        <w:ind w:left="420"/>
        <w:rPr/>
      </w:pPr>
      <w:r w:rsidRPr="4E2FD40D" w:rsidR="4E2FD40D">
        <w:rPr>
          <w:rFonts w:ascii="Calibri" w:hAnsi="Calibri" w:eastAsia="Calibri" w:cs="Calibri"/>
          <w:sz w:val="20"/>
          <w:szCs w:val="20"/>
        </w:rPr>
        <w:t>La decisione in merito alla qualificazione di un prodotto in permuta come Prodotto idoneo ai fini del Programma è a esclusiva e assoluta discrezione dello Sponsor o del distributore Fluke locale. Il prodotto in permuta non deve necessariamente essere funzionante. Tutti gli strumenti restituiti come permuta nell’ambito del Programma diventano di proprietà dello Sponsor o del distributore Fluke locale. Tutti i costi, le imposte, i dazi doganali, le commissioni e le spese associati alla partecipazione del cliente al Programma, inclusi la spedizione e la gestione dei prodotti in permuta, sono a carico del cliente. Eventuali imposte/commissioni sono a carico del destinatario.</w:t>
      </w:r>
    </w:p>
    <w:p w:rsidR="4E2FD40D" w:rsidP="4E2FD40D" w:rsidRDefault="4E2FD40D" w14:paraId="7DEDE6F0" w14:textId="4E4CB0AE">
      <w:pPr>
        <w:pStyle w:val="OutlineL1"/>
        <w:ind w:left="420"/>
        <w:rPr/>
      </w:pPr>
      <w:r w:rsidRPr="4E2FD40D" w:rsidR="4E2FD40D">
        <w:rPr>
          <w:rFonts w:ascii="Calibri" w:hAnsi="Calibri" w:eastAsia="Calibri" w:cs="Calibri"/>
          <w:b w:val="1"/>
          <w:bCs w:val="1"/>
          <w:sz w:val="20"/>
          <w:szCs w:val="20"/>
        </w:rPr>
        <w:t>Esonero da responsabilità; indennizzo</w:t>
      </w:r>
      <w:r w:rsidRPr="4E2FD40D" w:rsidR="4E2FD40D">
        <w:rPr>
          <w:rFonts w:ascii="Calibri" w:hAnsi="Calibri" w:eastAsia="Calibri" w:cs="Calibri"/>
          <w:sz w:val="20"/>
          <w:szCs w:val="20"/>
        </w:rPr>
        <w:t>. Salvo ove diversamente vietato dalla legge, partecipando alla Promozione, l’utente esonera e accetta di indennizzare e manlevare ciascuna Parte liberata da qualsiasi responsabilità, obbligo, lesione, reclamo, causa, azione, costo, spesa, perdita o danno di qualsiasi tipo, inclusa qualsiasi responsabilità fiscale o perdita di opportunità, diretta, indiretta, speciale o consequenziale, che possa essere imposto a, fatto valere nei confronti di o sostenuto da tale Parte liberata e che derivi da o sia in qualsiasi modo correlato alla presente Promozione e agli sconti offerti nell’ambito della stessa, inclusi, a titolo esemplificativo ma non esaustivo, i casi derivanti da o correlati a: (a) eventuali difficoltà tecniche o malfunzionamenti delle apparecchiature (siano essi o meno sotto il controllo dello Sponsor o del distributore Fluke locale); (b) furti, accessi non autorizzati o interferenze di terzi; (c) qualsiasi richiesta di Acquisto idoneo tardiva, smarrita, alterata, danneggiata o indirizzata erroneamente (anche dopo la ricezione da parte dello Sponsor o del distributore Fluke locale) e al di fuori del ragionevole controllo dello Sponsor o del distributore Fluke locale; (d) eventuali danni dovuti al funzionamento del servizio postale; (e) qualsiasi responsabilità fiscale sostenuta dal partecipante; e (f) uso o uso improprio del prodotto scontato o dell’omaggio con acquisto.</w:t>
      </w:r>
    </w:p>
    <w:p w:rsidRPr="00DF1A26" w:rsidR="007547E0" w:rsidP="007547E0" w:rsidRDefault="007547E0" w14:paraId="2F4FB1BB" w14:textId="1F0AC800">
      <w:pPr>
        <w:pStyle w:val="OutlineL1"/>
        <w:tabs>
          <w:tab w:val="clear" w:pos="1008"/>
          <w:tab w:val="num" w:pos="576"/>
        </w:tabs>
        <w:ind w:left="432"/>
        <w:rPr>
          <w:sz w:val="20"/>
          <w:rFonts w:asciiTheme="minorHAnsi" w:hAnsiTheme="minorHAnsi" w:cstheme="minorHAnsi"/>
        </w:rPr>
      </w:pPr>
      <w:r w:rsidRPr="4E2FD40D" w:rsidR="6FE74B14">
        <w:rPr>
          <w:rFonts w:ascii="Calibri" w:hAnsi="Calibri" w:asciiTheme="minorAscii" w:hAnsiTheme="minorAscii"/>
          <w:b w:val="1"/>
          <w:bCs w:val="1"/>
          <w:sz w:val="20"/>
          <w:szCs w:val="20"/>
        </w:rPr>
        <w:t>Informativa sulla proprietà intellettuale</w:t>
      </w:r>
      <w:r w:rsidRPr="4E2FD40D" w:rsidR="6FE74B14">
        <w:rPr>
          <w:rFonts w:ascii="Calibri" w:hAnsi="Calibri" w:asciiTheme="minorAscii" w:hAnsiTheme="minorAscii"/>
          <w:sz w:val="20"/>
          <w:szCs w:val="20"/>
        </w:rPr>
        <w:t>.</w:t>
      </w:r>
      <w:r w:rsidRPr="4E2FD40D" w:rsidR="6FE74B14">
        <w:rPr>
          <w:rFonts w:ascii="Calibri" w:hAnsi="Calibri" w:asciiTheme="minorAscii" w:hAnsiTheme="minorAscii"/>
          <w:sz w:val="20"/>
          <w:szCs w:val="20"/>
        </w:rPr>
        <w:t xml:space="preserve"> </w:t>
      </w:r>
      <w:r w:rsidRPr="4E2FD40D" w:rsidR="6FE74B14">
        <w:rPr>
          <w:rFonts w:ascii="Calibri" w:hAnsi="Calibri" w:asciiTheme="minorAscii" w:hAnsiTheme="minorAscii"/>
          <w:sz w:val="20"/>
          <w:szCs w:val="20"/>
        </w:rPr>
        <w:t>Il Programma e tutti i relativi materiali, inclusi questi Termini e condizioni, sono protetti dalla legge sul copyright © 2026 da Fluke Corporation e dalle relative entità affiliate.</w:t>
      </w:r>
      <w:r w:rsidRPr="4E2FD40D" w:rsidR="6FE74B14">
        <w:rPr>
          <w:rFonts w:ascii="Calibri" w:hAnsi="Calibri" w:asciiTheme="minorAscii" w:hAnsiTheme="minorAscii"/>
          <w:sz w:val="20"/>
          <w:szCs w:val="20"/>
        </w:rPr>
        <w:t xml:space="preserve"> </w:t>
      </w:r>
      <w:r w:rsidRPr="4E2FD40D" w:rsidR="6FE74B14">
        <w:rPr>
          <w:rFonts w:ascii="Calibri" w:hAnsi="Calibri" w:asciiTheme="minorAscii" w:hAnsiTheme="minorAscii"/>
          <w:sz w:val="20"/>
          <w:szCs w:val="20"/>
        </w:rPr>
        <w:t>Tutti i diritti riservati.</w:t>
      </w:r>
    </w:p>
    <w:p w:rsidR="4E2FD40D" w:rsidP="4E2FD40D" w:rsidRDefault="4E2FD40D" w14:paraId="4B8E4F53" w14:textId="4C4CB4C7">
      <w:pPr>
        <w:pStyle w:val="OutlineL1"/>
        <w:ind w:left="420"/>
        <w:rPr/>
      </w:pPr>
      <w:r w:rsidRPr="4E2FD40D" w:rsidR="4E2FD40D">
        <w:rPr>
          <w:rFonts w:ascii="Calibri" w:hAnsi="Calibri" w:eastAsia="Calibri" w:cs="Calibri"/>
          <w:b w:val="1"/>
          <w:bCs w:val="1"/>
          <w:sz w:val="20"/>
          <w:szCs w:val="20"/>
        </w:rPr>
        <w:t>Varie</w:t>
      </w:r>
      <w:r w:rsidRPr="4E2FD40D" w:rsidR="4E2FD40D">
        <w:rPr>
          <w:rFonts w:ascii="Calibri" w:hAnsi="Calibri" w:eastAsia="Calibri" w:cs="Calibri"/>
          <w:sz w:val="20"/>
          <w:szCs w:val="20"/>
        </w:rPr>
        <w:t>. Il Programma e i presenti Termini e condizioni saranno regolati, interpretati e applicati in conformità alle leggi del Paese di costituzione dello Sponsor o del distributore Fluke locale, senza applicare disposizioni in materia di conflitto o scelta di legge che possano rinviare l’interpretazione di qualsiasi termine alle leggi di un’altra giurisdizione. I partecipanti sono vincolati dai presenti Termini e condizioni e dalle decisioni dello Sponsor, che sono definitive e vincolanti sotto ogni aspetto. Nella misura massima consentita dalla legge applicabile, lo Sponsor si riserva il diritto di modificare i presenti Termini e condizioni in qualsiasi momento, a sua esclusiva discrezione, e di sospendere o annullare il Programma o la partecipazione di qualsiasi persona al Programma qualora virus informatici, interventi umani non autorizzati o altre cause al di fuori del ragionevole controllo dello Sponsor compromettano l’amministrazione, la sicurezza o lo svolgimento del Programma, oppure qualora lo Sponsor diventi altrimenti (come determinato a sua esclusiva discrezione) incapace di condurre il Programma come previsto, o per qualsiasi altro motivo ritenuto appropriato dallo Sponsor a sua discrezione.</w:t>
      </w:r>
    </w:p>
    <w:p w:rsidR="4E2FD40D" w:rsidP="4E2FD40D" w:rsidRDefault="4E2FD40D" w14:paraId="4266934D" w14:textId="7DD15FAA">
      <w:pPr>
        <w:pStyle w:val="BodyText"/>
        <w:ind w:left="420"/>
      </w:pPr>
      <w:r w:rsidRPr="4E2FD40D" w:rsidR="4E2FD40D">
        <w:rPr>
          <w:rFonts w:ascii="Calibri" w:hAnsi="Calibri" w:eastAsia="Calibri" w:cs="Calibri"/>
          <w:sz w:val="20"/>
          <w:szCs w:val="20"/>
        </w:rPr>
        <w:t>I partecipanti che violano i presenti Termini e condizioni, violano qualsiasi legge, norma o regolamento in relazione alla partecipazione al Programma, interferiscono con il funzionamento del Programma o di qualsiasi titolare offerto ai sensi del presente documento, oppure adottano qualsiasi condotta dannosa o sleale nei confronti dello Sponsor, del Programma o di qualsiasi altro partecipante (in ciascun caso come stabilito a esclusiva discrezione dello Sponsor), sono soggetti all’esclusione dalla partecipazione al Programma. In caso di domande sui presenti Termini e condizioni o sul Programma, inviare la domanda all’indirizzo e-mail pertinente per il proprio Paese o regione indicato nella tabella delle informazioni di contatto dello Sponsor riportata di seguito.</w:t>
      </w:r>
    </w:p>
    <w:p w:rsidR="007547E0" w:rsidP="007547E0" w:rsidRDefault="007547E0" w14:paraId="1D8EF3D8" w14:textId="77777777">
      <w:pPr>
        <w:pStyle w:val="OutlineL1"/>
        <w:tabs>
          <w:tab w:val="clear" w:pos="1008"/>
          <w:tab w:val="num" w:pos="576"/>
        </w:tabs>
        <w:ind w:left="432"/>
        <w:rPr>
          <w:sz w:val="20"/>
          <w:rFonts w:asciiTheme="minorHAnsi" w:hAnsiTheme="minorHAnsi" w:cstheme="minorHAnsi"/>
        </w:rPr>
      </w:pPr>
      <w:r w:rsidRPr="4E2FD40D" w:rsidR="556B7446">
        <w:rPr>
          <w:rFonts w:ascii="Calibri" w:hAnsi="Calibri" w:asciiTheme="minorAscii" w:hAnsiTheme="minorAscii"/>
          <w:b w:val="1"/>
          <w:bCs w:val="1"/>
          <w:sz w:val="20"/>
          <w:szCs w:val="20"/>
        </w:rPr>
        <w:t>Informazioni sull'indirizzo dello Sponsor</w:t>
      </w:r>
      <w:r w:rsidRPr="4E2FD40D" w:rsidR="556B7446">
        <w:rPr>
          <w:rFonts w:ascii="Calibri" w:hAnsi="Calibri" w:asciiTheme="minorAscii" w:hAnsiTheme="minorAscii"/>
          <w:sz w:val="20"/>
          <w:szCs w:val="20"/>
        </w:rPr>
        <w:t>:</w:t>
      </w:r>
    </w:p>
    <w:tbl>
      <w:tblPr>
        <w:tblStyle w:val="TableGrid"/>
        <w:tblW w:w="0" w:type="auto"/>
        <w:tblLook w:val="04A0" w:firstRow="1" w:lastRow="0" w:firstColumn="1" w:lastColumn="0" w:noHBand="0" w:noVBand="1"/>
      </w:tblPr>
      <w:tblGrid>
        <w:gridCol w:w="2265"/>
        <w:gridCol w:w="6780"/>
      </w:tblGrid>
      <w:tr w:rsidR="4E2FD40D" w:rsidTr="4E2FD40D" w14:paraId="3F3A847B">
        <w:tc>
          <w:tcPr>
            <w:tcW w:w="2265" w:type="dxa"/>
            <w:tcMar/>
          </w:tcPr>
          <w:p w:rsidR="4E2FD40D" w:rsidP="4E2FD40D" w:rsidRDefault="4E2FD40D" w14:paraId="68F6AA1F" w14:textId="25C315DF">
            <w:pPr>
              <w:pStyle w:val="Normal"/>
            </w:pPr>
            <w:r w:rsidRPr="4E2FD40D" w:rsidR="4E2FD40D">
              <w:rPr>
                <w:rFonts w:ascii="Calibri" w:hAnsi="Calibri" w:eastAsia="Calibri" w:cs="Calibri"/>
                <w:b w:val="1"/>
                <w:bCs w:val="1"/>
                <w:sz w:val="20"/>
                <w:szCs w:val="20"/>
              </w:rPr>
              <w:t>Paese/Regione</w:t>
            </w:r>
          </w:p>
        </w:tc>
        <w:tc>
          <w:tcPr>
            <w:tcW w:w="6780" w:type="dxa"/>
            <w:tcMar/>
          </w:tcPr>
          <w:p w:rsidR="4E2FD40D" w:rsidP="4E2FD40D" w:rsidRDefault="4E2FD40D" w14:paraId="2CB6B856" w14:textId="56EC0348">
            <w:pPr>
              <w:pStyle w:val="Normal"/>
            </w:pPr>
            <w:r w:rsidRPr="4E2FD40D" w:rsidR="4E2FD40D">
              <w:rPr>
                <w:rFonts w:ascii="Calibri" w:hAnsi="Calibri" w:eastAsia="Calibri" w:cs="Calibri"/>
                <w:b w:val="1"/>
                <w:bCs w:val="1"/>
                <w:sz w:val="20"/>
                <w:szCs w:val="20"/>
              </w:rPr>
              <w:t>Dettagli di contatto</w:t>
            </w:r>
          </w:p>
        </w:tc>
      </w:tr>
      <w:tr w:rsidR="4E2FD40D" w:rsidTr="4E2FD40D" w14:paraId="66A98B35">
        <w:tc>
          <w:tcPr>
            <w:tcW w:w="2265" w:type="dxa"/>
            <w:tcMar/>
          </w:tcPr>
          <w:p w:rsidR="4E2FD40D" w:rsidP="4E2FD40D" w:rsidRDefault="4E2FD40D" w14:paraId="5D20DB7D" w14:textId="2253DF9B">
            <w:pPr>
              <w:pStyle w:val="Normal"/>
            </w:pPr>
            <w:r w:rsidRPr="4E2FD40D" w:rsidR="4E2FD40D">
              <w:rPr>
                <w:rFonts w:ascii="Calibri" w:hAnsi="Calibri" w:eastAsia="Calibri" w:cs="Calibri"/>
                <w:sz w:val="20"/>
                <w:szCs w:val="20"/>
              </w:rPr>
              <w:t>Germania</w:t>
            </w:r>
          </w:p>
        </w:tc>
        <w:tc>
          <w:tcPr>
            <w:tcW w:w="6780" w:type="dxa"/>
            <w:tcMar/>
          </w:tcPr>
          <w:p w:rsidR="4E2FD40D" w:rsidP="4E2FD40D" w:rsidRDefault="4E2FD40D" w14:paraId="02A33F5E" w14:textId="0E25A667">
            <w:pPr>
              <w:pStyle w:val="Normal"/>
            </w:pPr>
            <w:r w:rsidRPr="4E2FD40D" w:rsidR="4E2FD40D">
              <w:rPr>
                <w:rFonts w:ascii="Calibri" w:hAnsi="Calibri" w:eastAsia="Calibri" w:cs="Calibri"/>
                <w:sz w:val="20"/>
                <w:szCs w:val="20"/>
              </w:rPr>
              <w:t>sales.de@fluke.com</w:t>
            </w:r>
            <w:r>
              <w:br/>
            </w:r>
            <w:r w:rsidRPr="4E2FD40D" w:rsidR="4E2FD40D">
              <w:rPr>
                <w:rFonts w:ascii="Calibri" w:hAnsi="Calibri" w:eastAsia="Calibri" w:cs="Calibri"/>
                <w:sz w:val="20"/>
                <w:szCs w:val="20"/>
              </w:rPr>
              <w:t>Fluke Deutschland GmbH, In den Engematten 14, 79286, Glottertal, Germania</w:t>
            </w:r>
          </w:p>
        </w:tc>
      </w:tr>
      <w:tr w:rsidR="4E2FD40D" w:rsidTr="4E2FD40D" w14:paraId="02B98B4F">
        <w:tc>
          <w:tcPr>
            <w:tcW w:w="2265" w:type="dxa"/>
            <w:tcMar/>
          </w:tcPr>
          <w:p w:rsidR="4E2FD40D" w:rsidP="4E2FD40D" w:rsidRDefault="4E2FD40D" w14:paraId="3C82824D" w14:textId="01FAF2C0">
            <w:pPr>
              <w:pStyle w:val="Normal"/>
            </w:pPr>
            <w:r w:rsidRPr="4E2FD40D" w:rsidR="4E2FD40D">
              <w:rPr>
                <w:rFonts w:ascii="Calibri" w:hAnsi="Calibri" w:eastAsia="Calibri" w:cs="Calibri"/>
                <w:sz w:val="20"/>
                <w:szCs w:val="20"/>
              </w:rPr>
              <w:t>Francia</w:t>
            </w:r>
          </w:p>
        </w:tc>
        <w:tc>
          <w:tcPr>
            <w:tcW w:w="6780" w:type="dxa"/>
            <w:tcMar/>
          </w:tcPr>
          <w:p w:rsidR="4E2FD40D" w:rsidP="4E2FD40D" w:rsidRDefault="4E2FD40D" w14:paraId="1AC02879" w14:textId="3857F416">
            <w:pPr>
              <w:pStyle w:val="Normal"/>
            </w:pPr>
            <w:r w:rsidRPr="4E2FD40D" w:rsidR="4E2FD40D">
              <w:rPr>
                <w:rFonts w:ascii="Calibri" w:hAnsi="Calibri" w:eastAsia="Calibri" w:cs="Calibri"/>
                <w:sz w:val="20"/>
                <w:szCs w:val="20"/>
              </w:rPr>
              <w:t>info_fr_pruftechnik@fluke.com</w:t>
            </w:r>
            <w:r>
              <w:br/>
            </w:r>
            <w:r w:rsidRPr="4E2FD40D" w:rsidR="4E2FD40D">
              <w:rPr>
                <w:rFonts w:ascii="Calibri" w:hAnsi="Calibri" w:eastAsia="Calibri" w:cs="Calibri"/>
                <w:sz w:val="20"/>
                <w:szCs w:val="20"/>
              </w:rPr>
              <w:t>Fluke France SAS, 9 Rue Paul Dautier, Velizy-Villacoublay 7814</w:t>
            </w:r>
          </w:p>
        </w:tc>
      </w:tr>
      <w:tr w:rsidR="4E2FD40D" w:rsidTr="4E2FD40D" w14:paraId="575DF558">
        <w:tc>
          <w:tcPr>
            <w:tcW w:w="2265" w:type="dxa"/>
            <w:tcMar/>
          </w:tcPr>
          <w:p w:rsidR="4E2FD40D" w:rsidP="4E2FD40D" w:rsidRDefault="4E2FD40D" w14:paraId="5A67F29F" w14:textId="2D17BB22">
            <w:pPr>
              <w:pStyle w:val="Normal"/>
            </w:pPr>
            <w:r w:rsidRPr="4E2FD40D" w:rsidR="4E2FD40D">
              <w:rPr>
                <w:rFonts w:ascii="Calibri" w:hAnsi="Calibri" w:eastAsia="Calibri" w:cs="Calibri"/>
                <w:sz w:val="20"/>
                <w:szCs w:val="20"/>
              </w:rPr>
              <w:t>Belgio, Lussemburgo, Paesi Bassi</w:t>
            </w:r>
          </w:p>
        </w:tc>
        <w:tc>
          <w:tcPr>
            <w:tcW w:w="6780" w:type="dxa"/>
            <w:tcMar/>
          </w:tcPr>
          <w:p w:rsidR="4E2FD40D" w:rsidP="4E2FD40D" w:rsidRDefault="4E2FD40D" w14:paraId="411C3184" w14:textId="05208F09">
            <w:pPr>
              <w:pStyle w:val="Normal"/>
            </w:pPr>
            <w:r w:rsidRPr="4E2FD40D" w:rsidR="4E2FD40D">
              <w:rPr>
                <w:rFonts w:ascii="Calibri" w:hAnsi="Calibri" w:eastAsia="Calibri" w:cs="Calibri"/>
                <w:sz w:val="20"/>
                <w:szCs w:val="20"/>
              </w:rPr>
              <w:t>Info.benelux.frs@fluke.com</w:t>
            </w:r>
            <w:r>
              <w:br/>
            </w:r>
            <w:r w:rsidRPr="4E2FD40D" w:rsidR="4E2FD40D">
              <w:rPr>
                <w:rFonts w:ascii="Calibri" w:hAnsi="Calibri" w:eastAsia="Calibri" w:cs="Calibri"/>
                <w:sz w:val="20"/>
                <w:szCs w:val="20"/>
              </w:rPr>
              <w:t>Fluke Belgium S.A./N.V., Gaston Crommenlaan 8 bus 0510, 1° piano, 9050, Gent, Belgio</w:t>
            </w:r>
          </w:p>
        </w:tc>
      </w:tr>
      <w:tr w:rsidR="4E2FD40D" w:rsidTr="4E2FD40D" w14:paraId="12B35F98">
        <w:tc>
          <w:tcPr>
            <w:tcW w:w="2265" w:type="dxa"/>
            <w:tcMar/>
          </w:tcPr>
          <w:p w:rsidR="4E2FD40D" w:rsidP="4E2FD40D" w:rsidRDefault="4E2FD40D" w14:paraId="05FE515D" w14:textId="048CDA4F">
            <w:pPr>
              <w:pStyle w:val="Normal"/>
            </w:pPr>
            <w:r w:rsidRPr="4E2FD40D" w:rsidR="4E2FD40D">
              <w:rPr>
                <w:rFonts w:ascii="Calibri" w:hAnsi="Calibri" w:eastAsia="Calibri" w:cs="Calibri"/>
                <w:sz w:val="20"/>
                <w:szCs w:val="20"/>
              </w:rPr>
              <w:t>Regno Unito</w:t>
            </w:r>
          </w:p>
        </w:tc>
        <w:tc>
          <w:tcPr>
            <w:tcW w:w="6780" w:type="dxa"/>
            <w:tcMar/>
          </w:tcPr>
          <w:p w:rsidR="4E2FD40D" w:rsidP="4E2FD40D" w:rsidRDefault="4E2FD40D" w14:paraId="70D89043" w14:textId="06F3BF25">
            <w:pPr>
              <w:pStyle w:val="Normal"/>
            </w:pPr>
            <w:r w:rsidRPr="4E2FD40D" w:rsidR="4E2FD40D">
              <w:rPr>
                <w:rFonts w:ascii="Calibri" w:hAnsi="Calibri" w:eastAsia="Calibri" w:cs="Calibri"/>
                <w:sz w:val="20"/>
                <w:szCs w:val="20"/>
              </w:rPr>
              <w:t>ptuk_sales@pruftechnik.com</w:t>
            </w:r>
            <w:r>
              <w:br/>
            </w:r>
            <w:r w:rsidRPr="4E2FD40D" w:rsidR="4E2FD40D">
              <w:rPr>
                <w:rFonts w:ascii="Calibri" w:hAnsi="Calibri" w:eastAsia="Calibri" w:cs="Calibri"/>
                <w:sz w:val="20"/>
                <w:szCs w:val="20"/>
              </w:rPr>
              <w:t>FLUKE (UK) Limited, 52 Hurricane Way, Norwich, NR6 6JB</w:t>
            </w:r>
          </w:p>
        </w:tc>
      </w:tr>
      <w:tr w:rsidR="4E2FD40D" w:rsidTr="4E2FD40D" w14:paraId="5B2147DA">
        <w:tc>
          <w:tcPr>
            <w:tcW w:w="2265" w:type="dxa"/>
            <w:tcMar/>
          </w:tcPr>
          <w:p w:rsidR="4E2FD40D" w:rsidP="4E2FD40D" w:rsidRDefault="4E2FD40D" w14:paraId="67E45046" w14:textId="7EB5386A">
            <w:pPr>
              <w:pStyle w:val="Normal"/>
            </w:pPr>
            <w:r w:rsidRPr="4E2FD40D" w:rsidR="4E2FD40D">
              <w:rPr>
                <w:rFonts w:ascii="Calibri" w:hAnsi="Calibri" w:eastAsia="Calibri" w:cs="Calibri"/>
                <w:sz w:val="20"/>
                <w:szCs w:val="20"/>
              </w:rPr>
              <w:t>Italia</w:t>
            </w:r>
          </w:p>
        </w:tc>
        <w:tc>
          <w:tcPr>
            <w:tcW w:w="6780" w:type="dxa"/>
            <w:tcMar/>
          </w:tcPr>
          <w:p w:rsidR="4E2FD40D" w:rsidP="4E2FD40D" w:rsidRDefault="4E2FD40D" w14:paraId="76173C18" w14:textId="1DC32F31">
            <w:pPr>
              <w:pStyle w:val="Normal"/>
            </w:pPr>
            <w:r w:rsidRPr="4E2FD40D" w:rsidR="4E2FD40D">
              <w:rPr>
                <w:rFonts w:ascii="Calibri" w:hAnsi="Calibri" w:eastAsia="Calibri" w:cs="Calibri"/>
                <w:sz w:val="20"/>
                <w:szCs w:val="20"/>
              </w:rPr>
              <w:t>Info_it@pruftechnik.com</w:t>
            </w:r>
            <w:r>
              <w:br/>
            </w:r>
            <w:r w:rsidRPr="4E2FD40D" w:rsidR="4E2FD40D">
              <w:rPr>
                <w:rFonts w:ascii="Calibri" w:hAnsi="Calibri" w:eastAsia="Calibri" w:cs="Calibri"/>
                <w:sz w:val="20"/>
                <w:szCs w:val="20"/>
              </w:rPr>
              <w:t>Fluke Italie SRL, Piazzale Francesco Baracca 1, 20123, Milano, Italia</w:t>
            </w:r>
          </w:p>
        </w:tc>
      </w:tr>
      <w:tr w:rsidR="4E2FD40D" w:rsidTr="4E2FD40D" w14:paraId="2C06177B">
        <w:tc>
          <w:tcPr>
            <w:tcW w:w="2265" w:type="dxa"/>
            <w:tcMar/>
          </w:tcPr>
          <w:p w:rsidR="4E2FD40D" w:rsidP="4E2FD40D" w:rsidRDefault="4E2FD40D" w14:paraId="57E053F1" w14:textId="619DA783">
            <w:pPr>
              <w:pStyle w:val="Normal"/>
            </w:pPr>
            <w:r w:rsidRPr="4E2FD40D" w:rsidR="4E2FD40D">
              <w:rPr>
                <w:rFonts w:ascii="Calibri" w:hAnsi="Calibri" w:eastAsia="Calibri" w:cs="Calibri"/>
                <w:sz w:val="20"/>
                <w:szCs w:val="20"/>
              </w:rPr>
              <w:t>Spagna</w:t>
            </w:r>
          </w:p>
        </w:tc>
        <w:tc>
          <w:tcPr>
            <w:tcW w:w="6780" w:type="dxa"/>
            <w:tcMar/>
          </w:tcPr>
          <w:p w:rsidR="4E2FD40D" w:rsidP="4E2FD40D" w:rsidRDefault="4E2FD40D" w14:paraId="0D7D4455" w14:textId="514B4E5A">
            <w:pPr>
              <w:pStyle w:val="Normal"/>
            </w:pPr>
            <w:r w:rsidRPr="4E2FD40D" w:rsidR="4E2FD40D">
              <w:rPr>
                <w:rFonts w:ascii="Calibri" w:hAnsi="Calibri" w:eastAsia="Calibri" w:cs="Calibri"/>
                <w:sz w:val="20"/>
                <w:szCs w:val="20"/>
              </w:rPr>
              <w:t>contacto@pruftechnik.com</w:t>
            </w:r>
            <w:r>
              <w:br/>
            </w:r>
            <w:r w:rsidRPr="4E2FD40D" w:rsidR="4E2FD40D">
              <w:rPr>
                <w:rFonts w:ascii="Calibri" w:hAnsi="Calibri" w:eastAsia="Calibri" w:cs="Calibri"/>
                <w:sz w:val="20"/>
                <w:szCs w:val="20"/>
              </w:rPr>
              <w:t>FLUKE IBERICA S.L., Avenida de la Industria, 32, 28108 Alcobendas, Madrid, Spagna</w:t>
            </w:r>
          </w:p>
        </w:tc>
      </w:tr>
      <w:tr w:rsidR="4E2FD40D" w:rsidTr="4E2FD40D" w14:paraId="4E3F0ADE">
        <w:tc>
          <w:tcPr>
            <w:tcW w:w="2265" w:type="dxa"/>
            <w:tcMar/>
          </w:tcPr>
          <w:p w:rsidR="4E2FD40D" w:rsidP="4E2FD40D" w:rsidRDefault="4E2FD40D" w14:paraId="7AFA4333" w14:textId="7EAB9743">
            <w:pPr>
              <w:pStyle w:val="Normal"/>
            </w:pPr>
            <w:r w:rsidRPr="4E2FD40D" w:rsidR="4E2FD40D">
              <w:rPr>
                <w:rFonts w:ascii="Calibri" w:hAnsi="Calibri" w:eastAsia="Calibri" w:cs="Calibri"/>
                <w:sz w:val="20"/>
                <w:szCs w:val="20"/>
              </w:rPr>
              <w:t>Portogallo</w:t>
            </w:r>
          </w:p>
        </w:tc>
        <w:tc>
          <w:tcPr>
            <w:tcW w:w="6780" w:type="dxa"/>
            <w:tcMar/>
          </w:tcPr>
          <w:p w:rsidR="4E2FD40D" w:rsidP="4E2FD40D" w:rsidRDefault="4E2FD40D" w14:paraId="5C48B7C0" w14:textId="03A01614">
            <w:pPr>
              <w:pStyle w:val="Normal"/>
            </w:pPr>
            <w:r w:rsidRPr="4E2FD40D" w:rsidR="4E2FD40D">
              <w:rPr>
                <w:rFonts w:ascii="Calibri" w:hAnsi="Calibri" w:eastAsia="Calibri" w:cs="Calibri"/>
                <w:sz w:val="20"/>
                <w:szCs w:val="20"/>
              </w:rPr>
              <w:t>contacto@pruftechnik.com</w:t>
            </w:r>
            <w:r>
              <w:br/>
            </w:r>
            <w:r w:rsidRPr="4E2FD40D" w:rsidR="4E2FD40D">
              <w:rPr>
                <w:rFonts w:ascii="Calibri" w:hAnsi="Calibri" w:eastAsia="Calibri" w:cs="Calibri"/>
                <w:sz w:val="20"/>
                <w:szCs w:val="20"/>
              </w:rPr>
              <w:t>Fluke Europe B.V., BIC 1, 5657 BX, Eindhoven, Paesi Bassi</w:t>
            </w:r>
          </w:p>
        </w:tc>
      </w:tr>
      <w:tr w:rsidR="4E2FD40D" w:rsidTr="4E2FD40D" w14:paraId="23909377">
        <w:tc>
          <w:tcPr>
            <w:tcW w:w="2265" w:type="dxa"/>
            <w:tcMar/>
          </w:tcPr>
          <w:p w:rsidR="4E2FD40D" w:rsidP="4E2FD40D" w:rsidRDefault="4E2FD40D" w14:paraId="4DBC713D" w14:textId="344173C8">
            <w:pPr>
              <w:pStyle w:val="Normal"/>
            </w:pPr>
            <w:r w:rsidRPr="4E2FD40D" w:rsidR="4E2FD40D">
              <w:rPr>
                <w:rFonts w:ascii="Calibri" w:hAnsi="Calibri" w:eastAsia="Calibri" w:cs="Calibri"/>
                <w:sz w:val="20"/>
                <w:szCs w:val="20"/>
              </w:rPr>
              <w:t>Polonia</w:t>
            </w:r>
          </w:p>
        </w:tc>
        <w:tc>
          <w:tcPr>
            <w:tcW w:w="6780" w:type="dxa"/>
            <w:tcMar/>
          </w:tcPr>
          <w:p w:rsidR="4E2FD40D" w:rsidP="4E2FD40D" w:rsidRDefault="4E2FD40D" w14:paraId="483E494B" w14:textId="00B66B97">
            <w:pPr>
              <w:pStyle w:val="Normal"/>
            </w:pPr>
            <w:r w:rsidRPr="4E2FD40D" w:rsidR="4E2FD40D">
              <w:rPr>
                <w:rFonts w:ascii="Calibri" w:hAnsi="Calibri" w:eastAsia="Calibri" w:cs="Calibri"/>
                <w:sz w:val="20"/>
                <w:szCs w:val="20"/>
              </w:rPr>
              <w:t>info_pl@pruftechnik.com</w:t>
            </w:r>
            <w:r>
              <w:br/>
            </w:r>
            <w:r w:rsidRPr="4E2FD40D" w:rsidR="4E2FD40D">
              <w:rPr>
                <w:rFonts w:ascii="Calibri" w:hAnsi="Calibri" w:eastAsia="Calibri" w:cs="Calibri"/>
                <w:sz w:val="20"/>
                <w:szCs w:val="20"/>
              </w:rPr>
              <w:t>Pruftechnik Wibrem Sp. z o.o., ul. Bolkowska 3, 53-612 Wroclaw</w:t>
            </w:r>
          </w:p>
        </w:tc>
      </w:tr>
      <w:tr w:rsidR="4E2FD40D" w:rsidTr="4E2FD40D" w14:paraId="1AC306BC">
        <w:tc>
          <w:tcPr>
            <w:tcW w:w="2265" w:type="dxa"/>
            <w:tcMar/>
          </w:tcPr>
          <w:p w:rsidR="4E2FD40D" w:rsidP="4E2FD40D" w:rsidRDefault="4E2FD40D" w14:paraId="125CE961" w14:textId="1E017097">
            <w:pPr>
              <w:pStyle w:val="Normal"/>
            </w:pPr>
            <w:r w:rsidRPr="4E2FD40D" w:rsidR="4E2FD40D">
              <w:rPr>
                <w:rFonts w:ascii="Calibri" w:hAnsi="Calibri" w:eastAsia="Calibri" w:cs="Calibri"/>
                <w:sz w:val="20"/>
                <w:szCs w:val="20"/>
              </w:rPr>
              <w:t>Paesi nordici</w:t>
            </w:r>
          </w:p>
        </w:tc>
        <w:tc>
          <w:tcPr>
            <w:tcW w:w="6780" w:type="dxa"/>
            <w:tcMar/>
          </w:tcPr>
          <w:p w:rsidR="4E2FD40D" w:rsidP="4E2FD40D" w:rsidRDefault="4E2FD40D" w14:paraId="5B5AD832" w14:textId="72D795C8">
            <w:pPr>
              <w:pStyle w:val="Normal"/>
            </w:pPr>
            <w:r w:rsidRPr="4E2FD40D" w:rsidR="4E2FD40D">
              <w:rPr>
                <w:rFonts w:ascii="Calibri" w:hAnsi="Calibri" w:eastAsia="Calibri" w:cs="Calibri"/>
                <w:sz w:val="20"/>
                <w:szCs w:val="20"/>
              </w:rPr>
              <w:t>iss.Nordics@fluke.com / roc.norway@fluke.com</w:t>
            </w:r>
            <w:r>
              <w:br/>
            </w:r>
            <w:r w:rsidRPr="4E2FD40D" w:rsidR="4E2FD40D">
              <w:rPr>
                <w:rFonts w:ascii="Calibri" w:hAnsi="Calibri" w:eastAsia="Calibri" w:cs="Calibri"/>
                <w:sz w:val="20"/>
                <w:szCs w:val="20"/>
              </w:rPr>
              <w:t>Norvegia: Fluke Norge A/s, c/o Regus Posthuset, Level 4 Biskop Gunnerus' gate 14A, Oslo, 0185, Norvegia</w:t>
            </w:r>
            <w:r>
              <w:br/>
            </w:r>
            <w:r w:rsidRPr="4E2FD40D" w:rsidR="4E2FD40D">
              <w:rPr>
                <w:rFonts w:ascii="Calibri" w:hAnsi="Calibri" w:eastAsia="Calibri" w:cs="Calibri"/>
                <w:sz w:val="20"/>
                <w:szCs w:val="20"/>
              </w:rPr>
              <w:t>Danimarca: Fluke Danmark A/S, C/o Regus, Herstedøstervej 27-29, Unit A DK-2620 Albertslund, 2620, Copenhagen, Danimarca</w:t>
            </w:r>
            <w:r>
              <w:br/>
            </w:r>
            <w:r w:rsidRPr="4E2FD40D" w:rsidR="4E2FD40D">
              <w:rPr>
                <w:rFonts w:ascii="Calibri" w:hAnsi="Calibri" w:eastAsia="Calibri" w:cs="Calibri"/>
                <w:sz w:val="20"/>
                <w:szCs w:val="20"/>
              </w:rPr>
              <w:t>Finlandia: Fluke Finland OY, Teknobulevardi 3-5, 01530 Vantaa, Finlandia</w:t>
            </w:r>
            <w:r>
              <w:br/>
            </w:r>
            <w:r w:rsidRPr="4E2FD40D" w:rsidR="4E2FD40D">
              <w:rPr>
                <w:rFonts w:ascii="Calibri" w:hAnsi="Calibri" w:eastAsia="Calibri" w:cs="Calibri"/>
                <w:sz w:val="20"/>
                <w:szCs w:val="20"/>
              </w:rPr>
              <w:t>Svezia: Fluke Sverige AB, Björklundabacken 10, 436 57 Hovås, Stockholm, Svezia</w:t>
            </w:r>
          </w:p>
        </w:tc>
      </w:tr>
      <w:tr w:rsidR="4E2FD40D" w:rsidTr="4E2FD40D" w14:paraId="6B61A00D">
        <w:tc>
          <w:tcPr>
            <w:tcW w:w="2265" w:type="dxa"/>
            <w:tcMar/>
          </w:tcPr>
          <w:p w:rsidR="4E2FD40D" w:rsidP="4E2FD40D" w:rsidRDefault="4E2FD40D" w14:paraId="108CDB1F" w14:textId="79B9A146">
            <w:pPr>
              <w:pStyle w:val="Normal"/>
            </w:pPr>
            <w:r w:rsidRPr="4E2FD40D" w:rsidR="4E2FD40D">
              <w:rPr>
                <w:rFonts w:ascii="Calibri" w:hAnsi="Calibri" w:eastAsia="Calibri" w:cs="Calibri"/>
                <w:sz w:val="20"/>
                <w:szCs w:val="20"/>
              </w:rPr>
              <w:t>Africa, Medio Oriente e Paesi indicati</w:t>
            </w:r>
          </w:p>
        </w:tc>
        <w:tc>
          <w:tcPr>
            <w:tcW w:w="6780" w:type="dxa"/>
            <w:tcMar/>
          </w:tcPr>
          <w:p w:rsidR="4E2FD40D" w:rsidP="4E2FD40D" w:rsidRDefault="4E2FD40D" w14:paraId="38B01CED" w14:textId="2CCC4C2A">
            <w:pPr>
              <w:pStyle w:val="Normal"/>
            </w:pPr>
            <w:r w:rsidRPr="4E2FD40D" w:rsidR="4E2FD40D">
              <w:rPr>
                <w:rFonts w:ascii="Calibri" w:hAnsi="Calibri" w:eastAsia="Calibri" w:cs="Calibri"/>
                <w:sz w:val="20"/>
                <w:szCs w:val="20"/>
              </w:rPr>
              <w:t>ptme@pruftechnik.com</w:t>
            </w:r>
            <w:r>
              <w:br/>
            </w:r>
            <w:r w:rsidRPr="4E2FD40D" w:rsidR="4E2FD40D">
              <w:rPr>
                <w:rFonts w:ascii="Calibri" w:hAnsi="Calibri" w:eastAsia="Calibri" w:cs="Calibri"/>
                <w:sz w:val="20"/>
                <w:szCs w:val="20"/>
              </w:rPr>
              <w:t>Fluke Europe B.V., BIC 1, 5657 BX, Eindhoven, Paesi Bassi</w:t>
            </w:r>
          </w:p>
        </w:tc>
      </w:tr>
      <w:tr w:rsidR="4E2FD40D" w:rsidTr="4E2FD40D" w14:paraId="1B92D8DF">
        <w:tc>
          <w:tcPr>
            <w:tcW w:w="2265" w:type="dxa"/>
            <w:tcMar/>
          </w:tcPr>
          <w:p w:rsidR="4E2FD40D" w:rsidP="4E2FD40D" w:rsidRDefault="4E2FD40D" w14:paraId="466DD150" w14:textId="14B463AA">
            <w:pPr>
              <w:pStyle w:val="Normal"/>
            </w:pPr>
            <w:r w:rsidRPr="4E2FD40D" w:rsidR="4E2FD40D">
              <w:rPr>
                <w:rFonts w:ascii="Calibri" w:hAnsi="Calibri" w:eastAsia="Calibri" w:cs="Calibri"/>
                <w:sz w:val="20"/>
                <w:szCs w:val="20"/>
              </w:rPr>
              <w:t>Turchia</w:t>
            </w:r>
          </w:p>
        </w:tc>
        <w:tc>
          <w:tcPr>
            <w:tcW w:w="6780" w:type="dxa"/>
            <w:tcMar/>
          </w:tcPr>
          <w:p w:rsidR="4E2FD40D" w:rsidP="4E2FD40D" w:rsidRDefault="4E2FD40D" w14:paraId="77019E2C" w14:textId="6B9BDFB8">
            <w:pPr>
              <w:pStyle w:val="Normal"/>
            </w:pPr>
            <w:r w:rsidRPr="4E2FD40D" w:rsidR="4E2FD40D">
              <w:rPr>
                <w:rFonts w:ascii="Calibri" w:hAnsi="Calibri" w:eastAsia="Calibri" w:cs="Calibri"/>
                <w:sz w:val="20"/>
                <w:szCs w:val="20"/>
              </w:rPr>
              <w:t>ptme@pruftechnik.com</w:t>
            </w:r>
            <w:r>
              <w:br/>
            </w:r>
            <w:r w:rsidRPr="4E2FD40D" w:rsidR="4E2FD40D">
              <w:rPr>
                <w:rFonts w:ascii="Calibri" w:hAnsi="Calibri" w:eastAsia="Calibri" w:cs="Calibri"/>
                <w:sz w:val="20"/>
                <w:szCs w:val="20"/>
              </w:rPr>
              <w:t>PRÜFTECHNIK Proaktif Bakim Teknolojileri Ve Hizmetleri Sanayi Ve Ticaret Limited Sirketi, C/o Regus, Barbaros Mah. Halk Cad. Palladium Residence (A Blok) No: 8A Interior Door No: 3 Ataşehir / İstanbul, Turchia</w:t>
            </w:r>
          </w:p>
        </w:tc>
      </w:tr>
    </w:tbl>
    <w:p w:rsidR="4E2FD40D" w:rsidP="4E2FD40D" w:rsidRDefault="4E2FD40D" w14:paraId="55B95942" w14:textId="2AF98361">
      <w:pPr>
        <w:pStyle w:val="Normal"/>
      </w:pPr>
    </w:p>
    <w:sectPr w:rsidRPr="007547E0" w:rsidR="00E61D8E" w:rsidSect="004B64E2">
      <w:headerReference w:type="default" r:id="rId11"/>
      <w:footerReference w:type="default" r:id="rId12"/>
      <w:pgSz w:w="11906" w:h="16838" w:orient="portrait" w:code="9"/>
      <w:pgMar w:top="1440" w:right="1152" w:bottom="360" w:left="1800" w:header="864"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5A24" w:rsidRDefault="00BC5A24" w14:paraId="25F39757" w14:textId="77777777">
      <w:r>
        <w:separator/>
      </w:r>
    </w:p>
  </w:endnote>
  <w:endnote w:type="continuationSeparator" w:id="0">
    <w:p w:rsidR="00BC5A24" w:rsidRDefault="00BC5A24" w14:paraId="1292DF87" w14:textId="77777777">
      <w:r>
        <w:continuationSeparator/>
      </w:r>
    </w:p>
  </w:endnote>
  <w:endnote w:type="continuationNotice" w:id="1">
    <w:p w:rsidR="00BC5A24" w:rsidRDefault="00BC5A24" w14:paraId="3DB2D4C0"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35E8A03A" w:rsidP="35E8A03A" w:rsidRDefault="35E8A03A" w14:paraId="3C2C11B5" w14:textId="6D8F2C58">
    <w:pPr>
      <w:pStyle w:val="Footer"/>
      <w:suppressLineNumbers w:val="0"/>
      <w:bidi w:val="0"/>
      <w:spacing w:before="0" w:beforeAutospacing="off" w:after="0" w:afterAutospacing="off" w:line="259" w:lineRule="auto"/>
      <w:ind w:left="0" w:right="0"/>
      <w:jc w:val="right"/>
      <w:rPr>
        <w:color w:val="767171" w:themeColor="background2" w:themeTint="FF" w:themeShade="80"/>
        <w:sz w:val="18"/>
        <w:szCs w:val="18"/>
      </w:rPr>
    </w:pPr>
  </w:p>
  <w:tbl>
    <w:tblPr>
      <w:tblW w:w="9082" w:type="dxa"/>
      <w:tblCellSpacing w:w="15" w:type="dxa"/>
      <w:tblCellMar>
        <w:top w:w="15" w:type="dxa"/>
        <w:left w:w="15" w:type="dxa"/>
        <w:bottom w:w="15" w:type="dxa"/>
        <w:right w:w="15" w:type="dxa"/>
      </w:tblCellMar>
      <w:tblLook w:val="04A0" w:firstRow="1" w:lastRow="0" w:firstColumn="1" w:lastColumn="0" w:noHBand="0" w:noVBand="1"/>
    </w:tblPr>
    <w:tblGrid>
      <w:gridCol w:w="6735"/>
      <w:gridCol w:w="2347"/>
    </w:tblGrid>
    <w:tr w:rsidRPr="004B64E2" w:rsidR="004B64E2" w:rsidTr="35E8A03A" w14:paraId="2B07797D" w14:textId="77777777">
      <w:trPr>
        <w:tblCellSpacing w:w="15" w:type="dxa"/>
      </w:trPr>
      <w:tc>
        <w:tcPr>
          <w:tcW w:w="6735" w:type="dxa"/>
          <w:shd w:val="clear" w:color="auto" w:fill="FFFFFF" w:themeFill="background1"/>
          <w:tcMar/>
          <w:vAlign w:val="center"/>
          <w:hideMark/>
        </w:tcPr>
        <w:p w:rsidRPr="004B64E2" w:rsidR="004B64E2" w:rsidP="35E8A03A" w:rsidRDefault="004B64E2" w14:paraId="7B9617EC" w14:textId="363FC928">
          <w:pPr>
            <w:pStyle w:val="Footer"/>
            <w:suppressLineNumbers w:val="0"/>
            <w:bidi w:val="0"/>
            <w:spacing w:before="0" w:beforeAutospacing="off" w:after="0" w:afterAutospacing="off" w:line="259" w:lineRule="auto"/>
            <w:ind w:left="0" w:right="0"/>
            <w:jc w:val="right"/>
            <w:rPr>
              <w:noProof w:val="0"/>
              <w:color w:val="767171" w:themeColor="background2" w:themeTint="FF" w:themeShade="80"/>
              <w:sz w:val="18"/>
              <w:szCs w:val="18"/>
              <w:lang w:val="it-IT"/>
            </w:rPr>
          </w:pPr>
          <w:r w:rsidRPr="35E8A03A" w:rsidR="35E8A03A">
            <w:rPr>
              <w:noProof w:val="0"/>
              <w:color w:val="767171" w:themeColor="background2" w:themeTint="FF" w:themeShade="80"/>
              <w:sz w:val="18"/>
              <w:szCs w:val="18"/>
              <w:lang w:val="en-US"/>
            </w:rPr>
            <w:t>Fluke Italie SRL</w:t>
          </w:r>
        </w:p>
      </w:tc>
      <w:tc>
        <w:tcPr>
          <w:tcW w:w="2347" w:type="dxa"/>
          <w:tcMar/>
          <w:vAlign w:val="center"/>
          <w:hideMark/>
        </w:tcPr>
        <w:p w:rsidRPr="004B64E2" w:rsidR="004B64E2" w:rsidP="35E8A03A" w:rsidRDefault="004B64E2" w14:paraId="4820BD35" w14:textId="087524AC">
          <w:pPr>
            <w:pStyle w:val="Footer"/>
            <w:suppressLineNumbers w:val="0"/>
            <w:bidi w:val="0"/>
            <w:spacing w:before="0" w:beforeAutospacing="off" w:after="0" w:afterAutospacing="off" w:line="259" w:lineRule="auto"/>
            <w:ind w:left="0" w:right="0"/>
            <w:jc w:val="right"/>
            <w:rPr>
              <w:noProof w:val="0"/>
              <w:color w:val="767171" w:themeColor="background2" w:themeTint="FF" w:themeShade="80"/>
              <w:sz w:val="18"/>
              <w:szCs w:val="18"/>
              <w:lang w:val="it-IT"/>
            </w:rPr>
          </w:pPr>
          <w:hyperlink r:id="R448fdd357b494df1">
            <w:r w:rsidRPr="35E8A03A" w:rsidR="35E8A03A">
              <w:rPr>
                <w:noProof w:val="0"/>
                <w:color w:val="767171" w:themeColor="background2" w:themeTint="FF" w:themeShade="80"/>
                <w:sz w:val="18"/>
                <w:szCs w:val="18"/>
                <w:lang w:val="en-US"/>
              </w:rPr>
              <w:t>Info_it@pruftechnik.com</w:t>
            </w:r>
          </w:hyperlink>
        </w:p>
      </w:tc>
    </w:tr>
    <w:tr w:rsidRPr="004B64E2" w:rsidR="004B64E2" w:rsidTr="35E8A03A" w14:paraId="3D43CEAB" w14:textId="77777777">
      <w:trPr>
        <w:tblCellSpacing w:w="15" w:type="dxa"/>
      </w:trPr>
      <w:tc>
        <w:tcPr>
          <w:tcW w:w="6735" w:type="dxa"/>
          <w:tcMar/>
          <w:vAlign w:val="center"/>
          <w:hideMark/>
        </w:tcPr>
        <w:p w:rsidRPr="004B64E2" w:rsidR="004B64E2" w:rsidP="35E8A03A" w:rsidRDefault="004B64E2" w14:paraId="58CC8514" w14:textId="1F1CE4FF">
          <w:pPr>
            <w:pStyle w:val="Footer"/>
            <w:suppressLineNumbers w:val="0"/>
            <w:bidi w:val="0"/>
            <w:spacing w:before="0" w:beforeAutospacing="off" w:after="0" w:afterAutospacing="off" w:line="259" w:lineRule="auto"/>
            <w:ind w:left="0" w:right="0"/>
            <w:jc w:val="right"/>
            <w:rPr>
              <w:noProof w:val="0"/>
              <w:color w:val="767171" w:themeColor="background2" w:themeTint="FF" w:themeShade="80"/>
              <w:sz w:val="18"/>
              <w:szCs w:val="18"/>
              <w:lang w:val="it-IT"/>
            </w:rPr>
          </w:pPr>
          <w:r w:rsidRPr="35E8A03A" w:rsidR="35E8A03A">
            <w:rPr>
              <w:noProof w:val="0"/>
              <w:color w:val="767171" w:themeColor="background2" w:themeTint="FF" w:themeShade="80"/>
              <w:sz w:val="18"/>
              <w:szCs w:val="18"/>
              <w:lang w:val="it-IT"/>
            </w:rPr>
            <w:t>Via de Nicola 12/E, Cesano Boscone (MI), 20090</w:t>
          </w:r>
        </w:p>
      </w:tc>
      <w:tc>
        <w:tcPr>
          <w:tcW w:w="2347" w:type="dxa"/>
          <w:tcMar/>
          <w:vAlign w:val="center"/>
          <w:hideMark/>
        </w:tcPr>
        <w:p w:rsidRPr="004B64E2" w:rsidR="004B64E2" w:rsidP="35E8A03A" w:rsidRDefault="004B64E2" w14:paraId="391A33D9" w14:textId="0FDB3245">
          <w:pPr>
            <w:pStyle w:val="Footer"/>
            <w:suppressLineNumbers w:val="0"/>
            <w:bidi w:val="0"/>
            <w:spacing w:before="0" w:beforeAutospacing="off" w:after="0" w:afterAutospacing="off" w:line="259" w:lineRule="auto"/>
            <w:ind w:left="0" w:right="0"/>
            <w:jc w:val="right"/>
            <w:rPr>
              <w:color w:val="767171" w:themeColor="background2" w:themeTint="FF" w:themeShade="80"/>
              <w:sz w:val="18"/>
              <w:szCs w:val="18"/>
            </w:rPr>
          </w:pPr>
          <w:r w:rsidRPr="35E8A03A" w:rsidR="73E9D493">
            <w:rPr>
              <w:color w:val="767171" w:themeColor="background2" w:themeTint="FF" w:themeShade="80"/>
              <w:sz w:val="18"/>
              <w:szCs w:val="18"/>
            </w:rPr>
            <w:t>www.fluke.com</w:t>
          </w:r>
          <w:r w:rsidRPr="35E8A03A" w:rsidR="35E8A03A">
            <w:rPr>
              <w:color w:val="767171" w:themeColor="background2" w:themeTint="FF" w:themeShade="80"/>
              <w:sz w:val="18"/>
              <w:szCs w:val="18"/>
            </w:rPr>
            <w:t>/it-it</w:t>
          </w:r>
        </w:p>
      </w:tc>
    </w:tr>
  </w:tbl>
  <w:p w:rsidRPr="004B64E2" w:rsidR="00185C87" w:rsidP="35E8A03A" w:rsidRDefault="00185C87" w14:paraId="20479D48" w14:textId="375A4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5A24" w:rsidRDefault="00BC5A24" w14:paraId="5128E584" w14:textId="77777777">
      <w:r>
        <w:separator/>
      </w:r>
    </w:p>
  </w:footnote>
  <w:footnote w:type="continuationSeparator" w:id="0">
    <w:p w:rsidR="00BC5A24" w:rsidRDefault="00BC5A24" w14:paraId="147CF762" w14:textId="77777777">
      <w:r>
        <w:continuationSeparator/>
      </w:r>
    </w:p>
  </w:footnote>
  <w:footnote w:type="continuationNotice" w:id="1">
    <w:p w:rsidR="00BC5A24" w:rsidRDefault="00BC5A24" w14:paraId="2A04CAB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85C87" w:rsidP="00337850" w:rsidRDefault="00337850" w14:paraId="02656090" w14:textId="28FEA28E">
    <w:pPr>
      <w:pStyle w:val="Header"/>
      <w:jc w:val="right"/>
    </w:pPr>
    <w:r>
      <w:drawing>
        <wp:anchor distT="0" distB="0" distL="114300" distR="114300" simplePos="0" relativeHeight="251659267" behindDoc="1" locked="0" layoutInCell="1" allowOverlap="1" wp14:anchorId="52077A47" wp14:editId="160BBC62">
          <wp:simplePos x="0" y="0"/>
          <wp:positionH relativeFrom="column">
            <wp:posOffset>4724400</wp:posOffset>
          </wp:positionH>
          <wp:positionV relativeFrom="paragraph">
            <wp:posOffset>-426720</wp:posOffset>
          </wp:positionV>
          <wp:extent cx="1560830" cy="800100"/>
          <wp:effectExtent l="0" t="0" r="1270" b="0"/>
          <wp:wrapTight wrapText="bothSides">
            <wp:wrapPolygon edited="0">
              <wp:start x="1318" y="2057"/>
              <wp:lineTo x="1318" y="13886"/>
              <wp:lineTo x="2373" y="18514"/>
              <wp:lineTo x="2900" y="19543"/>
              <wp:lineTo x="13709" y="19543"/>
              <wp:lineTo x="21354" y="15429"/>
              <wp:lineTo x="21354" y="2057"/>
              <wp:lineTo x="1318" y="2057"/>
            </wp:wrapPolygon>
          </wp:wrapTight>
          <wp:docPr id="11170439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0830" cy="8001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185C87" w:rsidRDefault="00185C87" w14:paraId="063620F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61EBD"/>
    <w:multiLevelType w:val="hybridMultilevel"/>
    <w:tmpl w:val="465EE834"/>
    <w:lvl w:ilvl="0" w:tplc="04090019">
      <w:start w:val="1"/>
      <w:numFmt w:val="lowerLetter"/>
      <w:lvlText w:val="%1."/>
      <w:lvlJc w:val="left"/>
      <w:pPr>
        <w:ind w:left="108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504D68E3"/>
    <w:multiLevelType w:val="multilevel"/>
    <w:tmpl w:val="201E7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3AC1449"/>
    <w:multiLevelType w:val="multilevel"/>
    <w:tmpl w:val="87008BC8"/>
    <w:name w:val="zzmpOutline||Outline|2|3|1|1|12|1||1|12|0||1|12|1||1|12|1||1|12|1||1|12|1||1|12|1||1|12|1||1|12|1||"/>
    <w:lvl w:ilvl="0">
      <w:start w:val="1"/>
      <w:numFmt w:val="decimal"/>
      <w:pStyle w:val="OutlineL1"/>
      <w:lvlText w:val="%1."/>
      <w:lvlJc w:val="left"/>
      <w:pPr>
        <w:tabs>
          <w:tab w:val="num" w:pos="1008"/>
        </w:tabs>
        <w:ind w:left="864" w:hanging="432"/>
      </w:pPr>
      <w:rPr>
        <w:b w:val="0"/>
        <w:i w:val="0"/>
        <w:caps w:val="0"/>
        <w:smallCaps w:val="0"/>
        <w:u w:val="none"/>
      </w:rPr>
    </w:lvl>
    <w:lvl w:ilvl="1">
      <w:start w:val="1"/>
      <w:numFmt w:val="lowerLetter"/>
      <w:pStyle w:val="OutlineL2"/>
      <w:lvlText w:val="%2."/>
      <w:lvlJc w:val="left"/>
      <w:pPr>
        <w:tabs>
          <w:tab w:val="num" w:pos="1296"/>
        </w:tabs>
        <w:ind w:left="1296" w:hanging="576"/>
      </w:pPr>
      <w:rPr>
        <w:b w:val="0"/>
        <w:i w:val="0"/>
        <w:caps w:val="0"/>
        <w:u w:val="none"/>
      </w:rPr>
    </w:lvl>
    <w:lvl w:ilvl="2">
      <w:start w:val="1"/>
      <w:numFmt w:val="decimal"/>
      <w:pStyle w:val="OutlineL3"/>
      <w:lvlText w:val="%3."/>
      <w:lvlJc w:val="left"/>
      <w:pPr>
        <w:tabs>
          <w:tab w:val="num" w:pos="2160"/>
        </w:tabs>
        <w:ind w:left="0" w:firstLine="1440"/>
      </w:pPr>
      <w:rPr>
        <w:b/>
        <w:i w:val="0"/>
        <w:caps w:val="0"/>
        <w:u w:val="none"/>
      </w:rPr>
    </w:lvl>
    <w:lvl w:ilvl="3">
      <w:start w:val="1"/>
      <w:numFmt w:val="lowerLetter"/>
      <w:pStyle w:val="OutlineL4"/>
      <w:lvlText w:val="%4."/>
      <w:lvlJc w:val="left"/>
      <w:pPr>
        <w:tabs>
          <w:tab w:val="num" w:pos="2880"/>
        </w:tabs>
        <w:ind w:left="0" w:firstLine="2160"/>
      </w:pPr>
      <w:rPr>
        <w:b/>
        <w:i w:val="0"/>
        <w:caps w:val="0"/>
        <w:u w:val="none"/>
      </w:rPr>
    </w:lvl>
    <w:lvl w:ilvl="4">
      <w:start w:val="1"/>
      <w:numFmt w:val="lowerRoman"/>
      <w:pStyle w:val="OutlineL5"/>
      <w:lvlText w:val="(%5)"/>
      <w:lvlJc w:val="left"/>
      <w:pPr>
        <w:tabs>
          <w:tab w:val="num" w:pos="3600"/>
        </w:tabs>
        <w:ind w:left="0" w:firstLine="2880"/>
      </w:pPr>
      <w:rPr>
        <w:b/>
        <w:i w:val="0"/>
        <w:caps w:val="0"/>
        <w:u w:val="none"/>
      </w:rPr>
    </w:lvl>
    <w:lvl w:ilvl="5">
      <w:start w:val="1"/>
      <w:numFmt w:val="lowerLetter"/>
      <w:pStyle w:val="OutlineL6"/>
      <w:lvlText w:val="(%6)"/>
      <w:lvlJc w:val="left"/>
      <w:pPr>
        <w:tabs>
          <w:tab w:val="num" w:pos="4320"/>
        </w:tabs>
        <w:ind w:left="0" w:firstLine="3600"/>
      </w:pPr>
      <w:rPr>
        <w:b/>
        <w:i w:val="0"/>
        <w:caps w:val="0"/>
        <w:u w:val="none"/>
      </w:rPr>
    </w:lvl>
    <w:lvl w:ilvl="6">
      <w:start w:val="1"/>
      <w:numFmt w:val="decimal"/>
      <w:pStyle w:val="OutlineL7"/>
      <w:lvlText w:val="(%7)"/>
      <w:lvlJc w:val="left"/>
      <w:pPr>
        <w:tabs>
          <w:tab w:val="num" w:pos="5040"/>
        </w:tabs>
        <w:ind w:left="0" w:firstLine="4320"/>
      </w:pPr>
      <w:rPr>
        <w:b/>
        <w:i w:val="0"/>
        <w:caps w:val="0"/>
        <w:u w:val="none"/>
      </w:rPr>
    </w:lvl>
    <w:lvl w:ilvl="7">
      <w:start w:val="1"/>
      <w:numFmt w:val="lowerRoman"/>
      <w:pStyle w:val="OutlineL8"/>
      <w:lvlText w:val="%8)"/>
      <w:lvlJc w:val="left"/>
      <w:pPr>
        <w:tabs>
          <w:tab w:val="num" w:pos="5760"/>
        </w:tabs>
        <w:ind w:left="0" w:firstLine="5040"/>
      </w:pPr>
      <w:rPr>
        <w:b/>
        <w:i w:val="0"/>
        <w:caps w:val="0"/>
        <w:u w:val="none"/>
      </w:rPr>
    </w:lvl>
    <w:lvl w:ilvl="8">
      <w:start w:val="1"/>
      <w:numFmt w:val="lowerLetter"/>
      <w:pStyle w:val="OutlineL9"/>
      <w:lvlText w:val="%9)"/>
      <w:lvlJc w:val="left"/>
      <w:pPr>
        <w:tabs>
          <w:tab w:val="num" w:pos="6480"/>
        </w:tabs>
        <w:ind w:left="0" w:firstLine="5760"/>
      </w:pPr>
      <w:rPr>
        <w:b/>
        <w:i w:val="0"/>
        <w:caps w:val="0"/>
        <w:u w:val="none"/>
      </w:rPr>
    </w:lvl>
  </w:abstractNum>
  <w:abstractNum w:abstractNumId="3" w15:restartNumberingAfterBreak="0">
    <w:nsid w:val="6AA61E5C"/>
    <w:multiLevelType w:val="multilevel"/>
    <w:tmpl w:val="C590B8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03580721">
    <w:abstractNumId w:val="2"/>
  </w:num>
  <w:num w:numId="2" w16cid:durableId="2132622847">
    <w:abstractNumId w:val="0"/>
  </w:num>
  <w:num w:numId="3" w16cid:durableId="1761559293">
    <w:abstractNumId w:val="1"/>
  </w:num>
  <w:num w:numId="4" w16cid:durableId="1221480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val="false"/>
  <w:defaultTabStop w:val="720"/>
  <w:hyphenationZone w:val="425"/>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E89"/>
    <w:rsid w:val="000173A6"/>
    <w:rsid w:val="000419A4"/>
    <w:rsid w:val="00044C27"/>
    <w:rsid w:val="00063F91"/>
    <w:rsid w:val="00077CE1"/>
    <w:rsid w:val="000A5B2F"/>
    <w:rsid w:val="000A60C7"/>
    <w:rsid w:val="000C14AC"/>
    <w:rsid w:val="00107FA9"/>
    <w:rsid w:val="00111B99"/>
    <w:rsid w:val="001711A7"/>
    <w:rsid w:val="00180CE1"/>
    <w:rsid w:val="00181435"/>
    <w:rsid w:val="00185C87"/>
    <w:rsid w:val="001D1CED"/>
    <w:rsid w:val="001D4756"/>
    <w:rsid w:val="001E5479"/>
    <w:rsid w:val="0020217D"/>
    <w:rsid w:val="0022225F"/>
    <w:rsid w:val="00250909"/>
    <w:rsid w:val="0025186D"/>
    <w:rsid w:val="00297DEB"/>
    <w:rsid w:val="002A0B8B"/>
    <w:rsid w:val="002A46CC"/>
    <w:rsid w:val="002D0A6B"/>
    <w:rsid w:val="002D33B2"/>
    <w:rsid w:val="002D6575"/>
    <w:rsid w:val="002E38A1"/>
    <w:rsid w:val="002F15A9"/>
    <w:rsid w:val="003148E5"/>
    <w:rsid w:val="003301AC"/>
    <w:rsid w:val="00335D19"/>
    <w:rsid w:val="00337850"/>
    <w:rsid w:val="00351950"/>
    <w:rsid w:val="00353AE5"/>
    <w:rsid w:val="00373E2A"/>
    <w:rsid w:val="0038781E"/>
    <w:rsid w:val="00387E2D"/>
    <w:rsid w:val="003956A1"/>
    <w:rsid w:val="003F4257"/>
    <w:rsid w:val="003F69B7"/>
    <w:rsid w:val="0041479A"/>
    <w:rsid w:val="00437021"/>
    <w:rsid w:val="00481E51"/>
    <w:rsid w:val="00483AB1"/>
    <w:rsid w:val="004B64E2"/>
    <w:rsid w:val="004C4ADC"/>
    <w:rsid w:val="004C5D9D"/>
    <w:rsid w:val="004D2A96"/>
    <w:rsid w:val="004D7378"/>
    <w:rsid w:val="004E5F35"/>
    <w:rsid w:val="004F7C69"/>
    <w:rsid w:val="00505F95"/>
    <w:rsid w:val="005348E4"/>
    <w:rsid w:val="00573C02"/>
    <w:rsid w:val="0059785E"/>
    <w:rsid w:val="005D245B"/>
    <w:rsid w:val="00622ED6"/>
    <w:rsid w:val="0064696D"/>
    <w:rsid w:val="006510DE"/>
    <w:rsid w:val="00661CB1"/>
    <w:rsid w:val="00663FF6"/>
    <w:rsid w:val="00670214"/>
    <w:rsid w:val="00674901"/>
    <w:rsid w:val="00682431"/>
    <w:rsid w:val="006879F3"/>
    <w:rsid w:val="006960EF"/>
    <w:rsid w:val="006B13B0"/>
    <w:rsid w:val="006D45EA"/>
    <w:rsid w:val="006E20B3"/>
    <w:rsid w:val="006E7214"/>
    <w:rsid w:val="006F1752"/>
    <w:rsid w:val="00703E2F"/>
    <w:rsid w:val="00712E6F"/>
    <w:rsid w:val="0073384C"/>
    <w:rsid w:val="007547E0"/>
    <w:rsid w:val="00756285"/>
    <w:rsid w:val="00771312"/>
    <w:rsid w:val="0078440A"/>
    <w:rsid w:val="00784A65"/>
    <w:rsid w:val="00796153"/>
    <w:rsid w:val="007A1C9C"/>
    <w:rsid w:val="007A59B6"/>
    <w:rsid w:val="007B1D0D"/>
    <w:rsid w:val="00802BBA"/>
    <w:rsid w:val="00844179"/>
    <w:rsid w:val="008703EA"/>
    <w:rsid w:val="008835B6"/>
    <w:rsid w:val="008B5DC5"/>
    <w:rsid w:val="008E625A"/>
    <w:rsid w:val="00901C3E"/>
    <w:rsid w:val="009064AA"/>
    <w:rsid w:val="0096646F"/>
    <w:rsid w:val="00973633"/>
    <w:rsid w:val="009D102A"/>
    <w:rsid w:val="009D4113"/>
    <w:rsid w:val="009E64C0"/>
    <w:rsid w:val="00A17E89"/>
    <w:rsid w:val="00A321BE"/>
    <w:rsid w:val="00A379BB"/>
    <w:rsid w:val="00A419FB"/>
    <w:rsid w:val="00A62AD5"/>
    <w:rsid w:val="00A72148"/>
    <w:rsid w:val="00AA783D"/>
    <w:rsid w:val="00B038A3"/>
    <w:rsid w:val="00B5393F"/>
    <w:rsid w:val="00B63BB1"/>
    <w:rsid w:val="00B801A0"/>
    <w:rsid w:val="00B827A2"/>
    <w:rsid w:val="00BC0D0F"/>
    <w:rsid w:val="00BC4537"/>
    <w:rsid w:val="00BC5A24"/>
    <w:rsid w:val="00BE6124"/>
    <w:rsid w:val="00C07A05"/>
    <w:rsid w:val="00C14F99"/>
    <w:rsid w:val="00C41082"/>
    <w:rsid w:val="00C8742B"/>
    <w:rsid w:val="00CA40C0"/>
    <w:rsid w:val="00CB4F4F"/>
    <w:rsid w:val="00CD659D"/>
    <w:rsid w:val="00CE6A28"/>
    <w:rsid w:val="00D32F38"/>
    <w:rsid w:val="00D4323A"/>
    <w:rsid w:val="00D647FE"/>
    <w:rsid w:val="00D9550A"/>
    <w:rsid w:val="00DA558B"/>
    <w:rsid w:val="00DB19FC"/>
    <w:rsid w:val="00DB56D6"/>
    <w:rsid w:val="00E36423"/>
    <w:rsid w:val="00E45157"/>
    <w:rsid w:val="00E61D8E"/>
    <w:rsid w:val="00E72F37"/>
    <w:rsid w:val="00EC4E10"/>
    <w:rsid w:val="00ED25E3"/>
    <w:rsid w:val="00F07F05"/>
    <w:rsid w:val="00F15235"/>
    <w:rsid w:val="00F241A0"/>
    <w:rsid w:val="00F508C2"/>
    <w:rsid w:val="00F54EC4"/>
    <w:rsid w:val="00F61FB5"/>
    <w:rsid w:val="00F85E97"/>
    <w:rsid w:val="00F87F3D"/>
    <w:rsid w:val="00F90546"/>
    <w:rsid w:val="00FA453F"/>
    <w:rsid w:val="00FB30C4"/>
    <w:rsid w:val="00FC5B51"/>
    <w:rsid w:val="00FF0DF8"/>
    <w:rsid w:val="00FF4D4B"/>
    <w:rsid w:val="00FF7F2A"/>
    <w:rsid w:val="02B99A7C"/>
    <w:rsid w:val="07CB1731"/>
    <w:rsid w:val="10A8C634"/>
    <w:rsid w:val="2488DA27"/>
    <w:rsid w:val="266C1A6A"/>
    <w:rsid w:val="2DD62CB6"/>
    <w:rsid w:val="2ECA839E"/>
    <w:rsid w:val="35E8A03A"/>
    <w:rsid w:val="3669AF66"/>
    <w:rsid w:val="36820C7C"/>
    <w:rsid w:val="3FA3FD15"/>
    <w:rsid w:val="3FE0E82E"/>
    <w:rsid w:val="42DF476F"/>
    <w:rsid w:val="47568CD5"/>
    <w:rsid w:val="4D00D9A8"/>
    <w:rsid w:val="4E2FD40D"/>
    <w:rsid w:val="4F519399"/>
    <w:rsid w:val="556B7446"/>
    <w:rsid w:val="57981638"/>
    <w:rsid w:val="5BA07A65"/>
    <w:rsid w:val="5D521EE9"/>
    <w:rsid w:val="61CD13E4"/>
    <w:rsid w:val="6F78E147"/>
    <w:rsid w:val="6FE74B14"/>
    <w:rsid w:val="73E9D493"/>
    <w:rsid w:val="763D6144"/>
    <w:rsid w:val="7765D381"/>
    <w:rsid w:val="77CC501C"/>
    <w:rsid w:val="7FFED23B"/>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78AA1E"/>
  <w14:defaultImageDpi w14:val="32767"/>
  <w15:chartTrackingRefBased/>
  <w15:docId w15:val="{213567EA-8FE5-4532-8CBA-F5F208DDE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Pr>
      <w:sz w:val="24"/>
      <w:szCs w:val="24"/>
    </w:rPr>
  </w:style>
  <w:style w:type="paragraph" w:styleId="Heading5">
    <w:name w:val="heading 5"/>
    <w:basedOn w:val="Normal"/>
    <w:next w:val="Normal"/>
    <w:link w:val="Heading5Char"/>
    <w:uiPriority w:val="9"/>
    <w:unhideWhenUsed/>
    <w:qFormat/>
    <w:pPr>
      <w:keepNext/>
      <w:keepLines/>
      <w:spacing w:before="4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606420"/>
      <w:u w:val="singl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FooterChar" w:customStyle="1">
    <w:name w:val="Footer Char"/>
    <w:basedOn w:val="DefaultParagraphFont"/>
    <w:link w:val="Footer"/>
    <w:uiPriority w:val="99"/>
    <w:rsid w:val="00F61FB5"/>
    <w:rPr>
      <w:sz w:val="24"/>
      <w:szCs w:val="24"/>
    </w:rPr>
  </w:style>
  <w:style w:type="paragraph" w:styleId="NoSpacing">
    <w:name w:val="No Spacing"/>
    <w:uiPriority w:val="1"/>
    <w:qFormat/>
    <w:rsid w:val="00F61FB5"/>
    <w:rPr>
      <w:rFonts w:asciiTheme="minorHAnsi" w:hAnsiTheme="minorHAnsi" w:eastAsiaTheme="minorEastAsia" w:cstheme="minorBidi"/>
      <w:sz w:val="22"/>
      <w:szCs w:val="22"/>
      <w:lang w:eastAsia="zh-CN"/>
    </w:rPr>
  </w:style>
  <w:style w:type="paragraph" w:styleId="BodyText">
    <w:name w:val="Body Text"/>
    <w:basedOn w:val="Normal"/>
    <w:link w:val="BodyTextChar"/>
    <w:rsid w:val="007547E0"/>
    <w:pPr>
      <w:spacing w:after="240"/>
      <w:ind w:left="864"/>
    </w:pPr>
    <w:rPr>
      <w:rFonts w:ascii="Calibri" w:hAnsi="Calibri" w:eastAsia="Calibri"/>
      <w:sz w:val="22"/>
      <w:szCs w:val="22"/>
    </w:rPr>
  </w:style>
  <w:style w:type="character" w:styleId="BodyTextChar" w:customStyle="1">
    <w:name w:val="Body Text Char"/>
    <w:basedOn w:val="DefaultParagraphFont"/>
    <w:link w:val="BodyText"/>
    <w:rsid w:val="007547E0"/>
    <w:rPr>
      <w:rFonts w:ascii="Calibri" w:hAnsi="Calibri" w:eastAsia="Calibri"/>
      <w:sz w:val="22"/>
      <w:szCs w:val="22"/>
    </w:rPr>
  </w:style>
  <w:style w:type="character" w:styleId="Emphasis">
    <w:name w:val="Emphasis"/>
    <w:qFormat/>
    <w:rsid w:val="007547E0"/>
    <w:rPr>
      <w:b/>
      <w:i/>
    </w:rPr>
  </w:style>
  <w:style w:type="paragraph" w:styleId="TITLECAPS" w:customStyle="1">
    <w:name w:val="TITLE CAPS"/>
    <w:basedOn w:val="Normal"/>
    <w:next w:val="BodyText"/>
    <w:link w:val="TITLECAPSChar"/>
    <w:rsid w:val="007547E0"/>
    <w:pPr>
      <w:spacing w:after="240"/>
    </w:pPr>
    <w:rPr>
      <w:rFonts w:ascii="Cambria" w:hAnsi="Cambria" w:eastAsia="Calibri"/>
      <w:b/>
      <w:color w:val="1F497D"/>
      <w:sz w:val="32"/>
      <w:szCs w:val="32"/>
    </w:rPr>
  </w:style>
  <w:style w:type="character" w:styleId="TITLECAPSChar" w:customStyle="1">
    <w:name w:val="TITLE CAPS Char"/>
    <w:basedOn w:val="DefaultParagraphFont"/>
    <w:link w:val="TITLECAPS"/>
    <w:rsid w:val="007547E0"/>
    <w:rPr>
      <w:rFonts w:ascii="Cambria" w:hAnsi="Cambria" w:eastAsia="Calibri"/>
      <w:b/>
      <w:color w:val="1F497D"/>
      <w:sz w:val="32"/>
      <w:szCs w:val="32"/>
    </w:rPr>
  </w:style>
  <w:style w:type="paragraph" w:styleId="OutlineL1" w:customStyle="1">
    <w:name w:val="Outline_L1"/>
    <w:basedOn w:val="Normal"/>
    <w:next w:val="BodyText"/>
    <w:link w:val="OutlineL1Char"/>
    <w:rsid w:val="007547E0"/>
    <w:pPr>
      <w:numPr>
        <w:numId w:val="1"/>
      </w:numPr>
      <w:spacing w:after="240"/>
      <w:outlineLvl w:val="0"/>
    </w:pPr>
    <w:rPr>
      <w:rFonts w:ascii="Calibri" w:hAnsi="Calibri"/>
      <w:sz w:val="22"/>
      <w:szCs w:val="20"/>
    </w:rPr>
  </w:style>
  <w:style w:type="character" w:styleId="OutlineL1Char" w:customStyle="1">
    <w:name w:val="Outline_L1 Char"/>
    <w:basedOn w:val="DefaultParagraphFont"/>
    <w:link w:val="OutlineL1"/>
    <w:rsid w:val="007547E0"/>
    <w:rPr>
      <w:rFonts w:ascii="Calibri" w:hAnsi="Calibri"/>
      <w:sz w:val="22"/>
    </w:rPr>
  </w:style>
  <w:style w:type="paragraph" w:styleId="OutlineL2" w:customStyle="1">
    <w:name w:val="Outline_L2"/>
    <w:basedOn w:val="OutlineL1"/>
    <w:next w:val="BodyText"/>
    <w:rsid w:val="007547E0"/>
    <w:pPr>
      <w:numPr>
        <w:ilvl w:val="1"/>
      </w:numPr>
      <w:outlineLvl w:val="1"/>
    </w:pPr>
  </w:style>
  <w:style w:type="paragraph" w:styleId="OutlineL3" w:customStyle="1">
    <w:name w:val="Outline_L3"/>
    <w:basedOn w:val="OutlineL2"/>
    <w:next w:val="BodyText"/>
    <w:rsid w:val="007547E0"/>
    <w:pPr>
      <w:numPr>
        <w:ilvl w:val="2"/>
      </w:numPr>
      <w:outlineLvl w:val="2"/>
    </w:pPr>
    <w:rPr>
      <w:rFonts w:ascii="Times New Roman" w:hAnsi="Times New Roman"/>
      <w:sz w:val="24"/>
    </w:rPr>
  </w:style>
  <w:style w:type="paragraph" w:styleId="OutlineL4" w:customStyle="1">
    <w:name w:val="Outline_L4"/>
    <w:basedOn w:val="OutlineL3"/>
    <w:next w:val="BodyText"/>
    <w:rsid w:val="007547E0"/>
    <w:pPr>
      <w:numPr>
        <w:ilvl w:val="3"/>
      </w:numPr>
      <w:outlineLvl w:val="3"/>
    </w:pPr>
  </w:style>
  <w:style w:type="paragraph" w:styleId="OutlineL5" w:customStyle="1">
    <w:name w:val="Outline_L5"/>
    <w:basedOn w:val="OutlineL4"/>
    <w:next w:val="BodyText"/>
    <w:rsid w:val="007547E0"/>
    <w:pPr>
      <w:numPr>
        <w:ilvl w:val="4"/>
      </w:numPr>
      <w:outlineLvl w:val="4"/>
    </w:pPr>
  </w:style>
  <w:style w:type="paragraph" w:styleId="OutlineL6" w:customStyle="1">
    <w:name w:val="Outline_L6"/>
    <w:basedOn w:val="OutlineL5"/>
    <w:next w:val="BodyText"/>
    <w:rsid w:val="007547E0"/>
    <w:pPr>
      <w:numPr>
        <w:ilvl w:val="5"/>
      </w:numPr>
      <w:outlineLvl w:val="5"/>
    </w:pPr>
  </w:style>
  <w:style w:type="paragraph" w:styleId="OutlineL7" w:customStyle="1">
    <w:name w:val="Outline_L7"/>
    <w:basedOn w:val="OutlineL6"/>
    <w:next w:val="BodyText"/>
    <w:rsid w:val="007547E0"/>
    <w:pPr>
      <w:numPr>
        <w:ilvl w:val="6"/>
      </w:numPr>
      <w:outlineLvl w:val="6"/>
    </w:pPr>
  </w:style>
  <w:style w:type="paragraph" w:styleId="OutlineL8" w:customStyle="1">
    <w:name w:val="Outline_L8"/>
    <w:basedOn w:val="OutlineL7"/>
    <w:next w:val="BodyText"/>
    <w:rsid w:val="007547E0"/>
    <w:pPr>
      <w:numPr>
        <w:ilvl w:val="7"/>
      </w:numPr>
      <w:outlineLvl w:val="7"/>
    </w:pPr>
  </w:style>
  <w:style w:type="paragraph" w:styleId="OutlineL9" w:customStyle="1">
    <w:name w:val="Outline_L9"/>
    <w:basedOn w:val="OutlineL8"/>
    <w:next w:val="BodyText"/>
    <w:link w:val="OutlineL9Char"/>
    <w:rsid w:val="007547E0"/>
    <w:pPr>
      <w:numPr>
        <w:ilvl w:val="8"/>
      </w:numPr>
      <w:outlineLvl w:val="8"/>
    </w:pPr>
  </w:style>
  <w:style w:type="character" w:styleId="OutlineL9Char" w:customStyle="1">
    <w:name w:val="Outline_L9 Char"/>
    <w:basedOn w:val="DefaultParagraphFont"/>
    <w:link w:val="OutlineL9"/>
    <w:rsid w:val="007547E0"/>
    <w:rPr>
      <w:sz w:val="24"/>
    </w:rPr>
  </w:style>
  <w:style w:type="table" w:styleId="TableGrid">
    <w:name w:val="Table Grid"/>
    <w:basedOn w:val="TableNormal"/>
    <w:rsid w:val="007547E0"/>
    <w:rPr>
      <w:rFonts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5Char" w:customStyle="1">
    <w:name w:val="Heading 5 Char"/>
    <w:basedOn w:val="DefaultParagraphFont"/>
    <w:link w:val="Heading5"/>
    <w:uiPriority w:val="9"/>
    <w:rPr>
      <w:rFonts w:asciiTheme="majorHAnsi" w:hAnsiTheme="majorHAnsi" w:eastAsiaTheme="majorEastAsia" w:cstheme="majorBidi"/>
      <w:color w:val="2E74B5" w:themeColor="accent1" w:themeShade="BF"/>
    </w:rPr>
  </w:style>
  <w:style w:type="paragraph" w:styleId="CommentText">
    <w:name w:val="annotation text"/>
    <w:basedOn w:val="Normal"/>
    <w:link w:val="CommentTextChar"/>
    <w:uiPriority w:val="99"/>
    <w:semiHidden/>
    <w:unhideWhenUsed/>
    <w:rPr>
      <w:sz w:val="20"/>
      <w:szCs w:val="20"/>
    </w:rPr>
  </w:style>
  <w:style w:type="character" w:styleId="CommentTextChar" w:customStyle="1">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4696D"/>
    <w:rPr>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9430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&#65279;<?xml version="1.0" encoding="utf-8"?><Relationships xmlns="http://schemas.openxmlformats.org/package/2006/relationships"><Relationship Type="http://schemas.openxmlformats.org/officeDocument/2006/relationships/hyperlink" Target="mailto:Info_it@pruftechnik.com" TargetMode="External" Id="R448fdd357b494df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90EF054F279142B43F5B16AF10AC01" ma:contentTypeVersion="19" ma:contentTypeDescription="Create a new document." ma:contentTypeScope="" ma:versionID="e5dba75fbd610b2ab2e4f234a1ad6628">
  <xsd:schema xmlns:xsd="http://www.w3.org/2001/XMLSchema" xmlns:xs="http://www.w3.org/2001/XMLSchema" xmlns:p="http://schemas.microsoft.com/office/2006/metadata/properties" xmlns:ns2="f4075f7d-7c78-4c98-9eb0-c3d5a77b05ff" xmlns:ns3="b1185835-2c15-4200-a4aa-aac8a465b01e" targetNamespace="http://schemas.microsoft.com/office/2006/metadata/properties" ma:root="true" ma:fieldsID="cbcdffd467ab696c96837e019e2eaa72" ns2:_="" ns3:_="">
    <xsd:import namespace="f4075f7d-7c78-4c98-9eb0-c3d5a77b05ff"/>
    <xsd:import namespace="b1185835-2c15-4200-a4aa-aac8a465b0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75f7d-7c78-4c98-9eb0-c3d5a77b05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da1511d-2345-4ee6-88e1-d3859e8dbc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85835-2c15-4200-a4aa-aac8a465b01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9bd2deb-db65-4a4a-a248-c4a236620e94}" ma:internalName="TaxCatchAll" ma:showField="CatchAllData" ma:web="b1185835-2c15-4200-a4aa-aac8a465b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1185835-2c15-4200-a4aa-aac8a465b01e" xsi:nil="true"/>
    <lcf76f155ced4ddcb4097134ff3c332f xmlns="f4075f7d-7c78-4c98-9eb0-c3d5a77b05f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90F375-99A9-47DC-96B2-071E783BC173}">
  <ds:schemaRefs>
    <ds:schemaRef ds:uri="http://schemas.microsoft.com/sharepoint/v3/contenttype/forms"/>
  </ds:schemaRefs>
</ds:datastoreItem>
</file>

<file path=customXml/itemProps2.xml><?xml version="1.0" encoding="utf-8"?>
<ds:datastoreItem xmlns:ds="http://schemas.openxmlformats.org/officeDocument/2006/customXml" ds:itemID="{79F101D3-CE38-4E04-AD8A-13ED309EC573}"/>
</file>

<file path=customXml/itemProps3.xml><?xml version="1.0" encoding="utf-8"?>
<ds:datastoreItem xmlns:ds="http://schemas.openxmlformats.org/officeDocument/2006/customXml" ds:itemID="{64468966-8705-412A-A33B-198CF573AA21}">
  <ds:schemaRefs>
    <ds:schemaRef ds:uri="http://schemas.microsoft.com/office/2006/metadata/properties"/>
    <ds:schemaRef ds:uri="http://schemas.microsoft.com/office/infopath/2007/PartnerControls"/>
    <ds:schemaRef ds:uri="1b3affd2-6004-4aab-9ffe-d3ee9b44cf9b"/>
    <ds:schemaRef ds:uri="89fe8945-c2ea-48b2-bc70-b516dce06a71"/>
  </ds:schemaRefs>
</ds:datastoreItem>
</file>

<file path=docMetadata/LabelInfo.xml><?xml version="1.0" encoding="utf-8"?>
<clbl:labelList xmlns:clbl="http://schemas.microsoft.com/office/2020/mipLabelMetadata">
  <clbl:label id="{0f634ac3-b39f-41a6-83ba-8f107876c692}" enabled="0" method="" siteId="{0f634ac3-b39f-41a6-83ba-8f107876c69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Fluke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Marinko, Elena</cp:lastModifiedBy>
  <cp:revision>15</cp:revision>
  <cp:lastPrinted>2025-08-12T10:05:00Z</cp:lastPrinted>
  <dcterms:created xsi:type="dcterms:W3CDTF">2026-07-23T15:43:00Z</dcterms:created>
  <dcterms:modified xsi:type="dcterms:W3CDTF">2026-08-20T15:12:28Z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0x0101006390EF054F279142B43F5B16AF10AC01</vt:lpwstr>
  </property>
  <property fmtid="{D5CDD505-2E9C-101B-9397-08002B2CF9AE}" pid="3" name="Order">
    <vt:r8>7166200</vt:r8>
  </property>
  <property fmtid="{D5CDD505-2E9C-101B-9397-08002B2CF9AE}" pid="4" name="MediaServiceImageTags">
    <vt:lpwstr/>
  </property>
</Properties>
</file>